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color w:val="142C52"/>
          <w:sz w:val="32"/>
        </w:rPr>
        <w:t xml:space="preserve">Halberd capital partners</w:t>
      </w:r>
    </w:p>
    <w:p>
      <w:pPr>
        <w:spacing w:after="40"/>
      </w:pPr>
      <w:r>
        <w:rPr>
          <w:rFonts w:ascii="Calibri" w:hAnsi="Calibri"/>
          <w:b/>
          <w:color w:val="1F2733"/>
          <w:sz w:val="24"/>
        </w:rPr>
        <w:t xml:space="preserve">Internal - Pre-LOI IC Pre-Read Template</w:t>
      </w:r>
    </w:p>
    <w:p>
      <w:pPr>
        <w:spacing w:after="40"/>
      </w:pPr>
      <w:r>
        <w:rPr>
          <w:rFonts w:ascii="Calibri" w:hAnsi="Calibri"/>
          <w:color w:val="5A6573"/>
          <w:sz w:val="20"/>
        </w:rPr>
        <w:t xml:space="preserve">Authored: Hugh Pemberton, Managing Partner   |   September 2024 revision</w:t>
      </w:r>
    </w:p>
    <w:p>
      <w:pPr>
        <w:spacing w:after="40"/>
      </w:pPr>
    </w:p>
    <w:p>
      <w:pPr>
        <w:spacing w:before="280" w:after="80"/>
      </w:pPr>
      <w:r>
        <w:rPr>
          <w:rFonts w:ascii="Calibri" w:hAnsi="Calibri"/>
          <w:b/>
          <w:i w:val="0"/>
          <w:color w:val="142C52"/>
          <w:sz w:val="32"/>
        </w:rPr>
        <w:t>1. Purpose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This template defines the standard format for pre-LOI Investment Committee pre-reads. All preliminary outside-in commercial DD deliverables produced for the IC must conform to this template. The intent is to give the IC a consistent evidentiary surface across deals so that decisions on whether to advance a target into confirmatory diligence can be made on like-for-like preliminary work, regardless of sector partner or deal team.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Preliminary pre-LOI work is a screening exercise, not an investment pitch. The deliverables described below are the outputs the IC reads; the hard rules in Section 4 are the constraints under which those outputs are produced.</w:t>
      </w:r>
    </w:p>
    <w:p>
      <w:pPr>
        <w:spacing w:before="280" w:after="80"/>
      </w:pPr>
      <w:r>
        <w:rPr>
          <w:rFonts w:ascii="Calibri" w:hAnsi="Calibri"/>
          <w:b/>
          <w:i w:val="0"/>
          <w:color w:val="142C52"/>
          <w:sz w:val="32"/>
        </w:rPr>
        <w:t>2. Required Deliverables</w:t>
      </w:r>
    </w:p>
    <w:p>
      <w:pPr/>
      <w:r>
        <w:t>Every pre-LOI preliminary review submission to the IC consists of the following four deliverables.</w:t>
      </w:r>
    </w:p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0B2A4A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22"/>
              </w:rPr>
              <w:t>Deliverable</w:t>
            </w:r>
          </w:p>
        </w:tc>
        <w:tc>
          <w:tcPr>
            <w:tcW w:type="dxa" w:w="3249"/>
            <w:shd w:val="clear" w:color="auto" w:fill="0B2A4A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22"/>
              </w:rPr>
              <w:t>Format</w:t>
            </w:r>
          </w:p>
        </w:tc>
        <w:tc>
          <w:tcPr>
            <w:tcW w:type="dxa" w:w="3249"/>
            <w:shd w:val="clear" w:color="auto" w:fill="0B2A4A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22"/>
              </w:rPr>
              <w:t>Audience</w:t>
            </w:r>
          </w:p>
        </w:tc>
      </w:tr>
      <w:tr>
        <w:tc>
          <w:tcPr>
            <w:tcW w:type="dxa" w:w="3249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sz w:val="20"/>
              </w:rPr>
              <w:t>Market overview</w:t>
            </w:r>
          </w:p>
        </w:tc>
        <w:tc>
          <w:tcPr>
            <w:tcW w:type="dxa" w:w="3249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20"/>
              </w:rPr>
              <w:t>.tex (LaTeX/TikZ source) + .pdf (compiled)</w:t>
            </w:r>
          </w:p>
        </w:tc>
        <w:tc>
          <w:tcPr>
            <w:tcW w:type="dxa" w:w="3249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20"/>
              </w:rPr>
              <w:t>IC reference figure - visual depiction of the competitive landscape</w:t>
            </w:r>
          </w:p>
        </w:tc>
      </w:tr>
      <w:tr>
        <w:tc>
          <w:tcPr>
            <w:tcW w:type="dxa" w:w="3249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sz w:val="20"/>
              </w:rPr>
              <w:t>Market sizing model</w:t>
            </w:r>
          </w:p>
        </w:tc>
        <w:tc>
          <w:tcPr>
            <w:tcW w:type="dxa" w:w="3249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20"/>
              </w:rPr>
              <w:t>.xlsx - four-tab structure</w:t>
            </w:r>
          </w:p>
        </w:tc>
        <w:tc>
          <w:tcPr>
            <w:tcW w:type="dxa" w:w="3249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20"/>
              </w:rPr>
              <w:t>IC analytics - historical, forecast, scenarios, assumptions</w:t>
            </w:r>
          </w:p>
        </w:tc>
      </w:tr>
      <w:tr>
        <w:tc>
          <w:tcPr>
            <w:tcW w:type="dxa" w:w="3249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sz w:val="20"/>
              </w:rPr>
              <w:t>Target assessment slide deck</w:t>
            </w:r>
          </w:p>
        </w:tc>
        <w:tc>
          <w:tcPr>
            <w:tcW w:type="dxa" w:w="3249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20"/>
              </w:rPr>
              <w:t>.pptx - preliminary findings</w:t>
            </w:r>
          </w:p>
        </w:tc>
        <w:tc>
          <w:tcPr>
            <w:tcW w:type="dxa" w:w="3249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20"/>
              </w:rPr>
              <w:t>IC pre-read - primary discussion artifact</w:t>
            </w:r>
          </w:p>
        </w:tc>
      </w:tr>
      <w:tr>
        <w:tc>
          <w:tcPr>
            <w:tcW w:type="dxa" w:w="3249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sz w:val="20"/>
              </w:rPr>
              <w:t>Briefing video for senior partner</w:t>
            </w:r>
          </w:p>
        </w:tc>
        <w:tc>
          <w:tcPr>
            <w:tcW w:type="dxa" w:w="3249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20"/>
              </w:rPr>
              <w:t>.mp4 + verbatim time-aligned .srt</w:t>
            </w:r>
          </w:p>
        </w:tc>
        <w:tc>
          <w:tcPr>
            <w:tcW w:type="dxa" w:w="3249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20"/>
              </w:rPr>
              <w:t>Senior partner walk-up brief in advance of IC</w:t>
            </w:r>
          </w:p>
        </w:tc>
      </w:tr>
    </w:tbl>
    <w:p>
      <w:pPr>
        <w:spacing w:before="280" w:after="80"/>
      </w:pPr>
      <w:r>
        <w:rPr>
          <w:rFonts w:ascii="Calibri" w:hAnsi="Calibri"/>
          <w:b/>
          <w:i w:val="0"/>
          <w:color w:val="142C52"/>
          <w:sz w:val="32"/>
        </w:rPr>
        <w:t>3. Deliverable Specifications</w:t>
      </w:r>
    </w:p>
    <w:p>
      <w:pPr>
        <w:spacing w:before="280" w:after="80"/>
      </w:pPr>
      <w:r>
        <w:rPr>
          <w:rFonts w:ascii="Calibri" w:hAnsi="Calibri"/>
          <w:b/>
          <w:i w:val="0"/>
          <w:color w:val="1F2733"/>
          <w:sz w:val="26"/>
        </w:rPr>
        <w:t>3.1 Market Overview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The market overview is a visual depiction of the competitive landscape - depiction over prose. The IC reads this to orient on who plays in the market, at what scale, and how players cluster on the dimensions that matter for the thesis. A maximum of one or two sentences of introductory text is permitted; the rest of the deliverable is the figure itself.</w:t>
      </w:r>
    </w:p>
    <w:p>
      <w:pPr>
        <w:pStyle w:val="ListBullet"/>
        <w:spacing w:after="40"/>
      </w:pPr>
      <w:r>
        <w:rPr>
          <w:rFonts w:ascii="Calibri" w:hAnsi="Calibri"/>
          <w:b/>
          <w:i w:val="0"/>
          <w:sz w:val="22"/>
        </w:rPr>
        <w:t xml:space="preserve">Source format: </w:t>
      </w:r>
      <w:r>
        <w:rPr>
          <w:rFonts w:ascii="Calibri" w:hAnsi="Calibri"/>
          <w:b w:val="0"/>
          <w:i w:val="0"/>
          <w:sz w:val="22"/>
        </w:rPr>
        <w:t>LaTeX with TikZ. Submit the .tex source alongside the compiled PDF.</w:t>
      </w:r>
    </w:p>
    <w:p>
      <w:pPr>
        <w:pStyle w:val="ListBullet"/>
        <w:spacing w:after="40"/>
      </w:pPr>
      <w:r>
        <w:rPr>
          <w:rFonts w:ascii="Calibri" w:hAnsi="Calibri"/>
          <w:b/>
          <w:i w:val="0"/>
          <w:sz w:val="22"/>
        </w:rPr>
        <w:t xml:space="preserve">Compiled output: </w:t>
      </w:r>
      <w:r>
        <w:rPr>
          <w:rFonts w:ascii="Calibri" w:hAnsi="Calibri"/>
          <w:b w:val="0"/>
          <w:i w:val="0"/>
          <w:sz w:val="22"/>
        </w:rPr>
        <w:t>The .pdf must derive from the submitted .tex - we recompile-check on submission.</w:t>
      </w:r>
    </w:p>
    <w:p>
      <w:pPr>
        <w:pStyle w:val="ListBullet"/>
        <w:spacing w:after="40"/>
      </w:pPr>
      <w:r>
        <w:rPr>
          <w:rFonts w:ascii="Calibri" w:hAnsi="Calibri"/>
          <w:b/>
          <w:i w:val="0"/>
          <w:sz w:val="22"/>
        </w:rPr>
        <w:t xml:space="preserve">Content: </w:t>
      </w:r>
      <w:r>
        <w:rPr>
          <w:rFonts w:ascii="Calibri" w:hAnsi="Calibri"/>
          <w:b w:val="0"/>
          <w:i w:val="0"/>
          <w:sz w:val="22"/>
        </w:rPr>
        <w:t>All material competitors / archetypes; private targets shown additively to the public roster (do not shrink known producers' shares to make a private target fit).</w:t>
      </w:r>
    </w:p>
    <w:p>
      <w:pPr>
        <w:pStyle w:val="ListBullet"/>
        <w:spacing w:after="40"/>
      </w:pPr>
      <w:r>
        <w:rPr>
          <w:rFonts w:ascii="Calibri" w:hAnsi="Calibri"/>
          <w:b/>
          <w:i w:val="0"/>
          <w:sz w:val="22"/>
        </w:rPr>
        <w:t xml:space="preserve">Prohibited: </w:t>
      </w:r>
      <w:r>
        <w:rPr>
          <w:rFonts w:ascii="Calibri" w:hAnsi="Calibri"/>
          <w:b w:val="0"/>
          <w:i w:val="0"/>
          <w:sz w:val="22"/>
        </w:rPr>
        <w:t>narrative essays, multi-paragraph prose blocks, raster screenshots in place of native TikZ.</w:t>
      </w:r>
    </w:p>
    <w:p>
      <w:pPr>
        <w:spacing w:before="280" w:after="80"/>
      </w:pPr>
      <w:r>
        <w:rPr>
          <w:rFonts w:ascii="Calibri" w:hAnsi="Calibri"/>
          <w:b/>
          <w:i w:val="0"/>
          <w:color w:val="1F2733"/>
          <w:sz w:val="26"/>
        </w:rPr>
        <w:t>3.2 Market Sizing Model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A four-tab Excel workbook covering historical, forecast, scenarios, and assumptions.</w:t>
      </w:r>
    </w:p>
    <w:p>
      <w:pPr>
        <w:pStyle w:val="ListBullet"/>
        <w:spacing w:after="40"/>
      </w:pPr>
      <w:r>
        <w:rPr>
          <w:rFonts w:ascii="Calibri" w:hAnsi="Calibri"/>
          <w:b/>
          <w:i w:val="0"/>
          <w:sz w:val="22"/>
        </w:rPr>
        <w:t xml:space="preserve">Tab 1 - Historical: </w:t>
      </w:r>
      <w:r>
        <w:rPr>
          <w:rFonts w:ascii="Calibri" w:hAnsi="Calibri"/>
          <w:b w:val="0"/>
          <w:i w:val="0"/>
          <w:sz w:val="22"/>
        </w:rPr>
        <w:t>actual market size and share data with sources cited inline.</w:t>
      </w:r>
    </w:p>
    <w:p>
      <w:pPr>
        <w:pStyle w:val="ListBullet"/>
        <w:spacing w:after="40"/>
      </w:pPr>
      <w:r>
        <w:rPr>
          <w:rFonts w:ascii="Calibri" w:hAnsi="Calibri"/>
          <w:b/>
          <w:i w:val="0"/>
          <w:sz w:val="22"/>
        </w:rPr>
        <w:t xml:space="preserve">Tab 2 - Forecast: </w:t>
      </w:r>
      <w:r>
        <w:rPr>
          <w:rFonts w:ascii="Calibri" w:hAnsi="Calibri"/>
          <w:b w:val="0"/>
          <w:i w:val="0"/>
          <w:sz w:val="22"/>
        </w:rPr>
        <w:t>central forecast on the key drivers, with formulas (no hard-coded forecast values).</w:t>
      </w:r>
    </w:p>
    <w:p>
      <w:pPr>
        <w:pStyle w:val="ListBullet"/>
        <w:spacing w:after="40"/>
      </w:pPr>
      <w:r>
        <w:rPr>
          <w:rFonts w:ascii="Calibri" w:hAnsi="Calibri"/>
          <w:b/>
          <w:i w:val="0"/>
          <w:sz w:val="22"/>
        </w:rPr>
        <w:t xml:space="preserve">Tab 3 - Scenarios: </w:t>
      </w:r>
      <w:r>
        <w:rPr>
          <w:rFonts w:ascii="Calibri" w:hAnsi="Calibri"/>
          <w:b w:val="0"/>
          <w:i w:val="0"/>
          <w:sz w:val="22"/>
        </w:rPr>
        <w:t>minimum three named transition scenarios with explicit, diverging assumptions on the drivers (e.g. on a regulatory transition, scenarios should diverge on transition pace, premium durability, and supply response - not just a single sensitivity on one input). Scenarios must be named (not Scenario A / B / C) and the divergence rationale must be readable from the tab.</w:t>
      </w:r>
    </w:p>
    <w:p>
      <w:pPr>
        <w:pStyle w:val="ListBullet"/>
        <w:spacing w:after="40"/>
      </w:pPr>
      <w:r>
        <w:rPr>
          <w:rFonts w:ascii="Calibri" w:hAnsi="Calibri"/>
          <w:b/>
          <w:i w:val="0"/>
          <w:sz w:val="22"/>
        </w:rPr>
        <w:t xml:space="preserve">Tab 4 - Assumptions: </w:t>
      </w:r>
      <w:r>
        <w:rPr>
          <w:rFonts w:ascii="Calibri" w:hAnsi="Calibri"/>
          <w:b w:val="0"/>
          <w:i w:val="0"/>
          <w:sz w:val="22"/>
        </w:rPr>
        <w:t>every driver listed with source, period, currency unit, and the cell(s) it feeds.</w:t>
      </w:r>
    </w:p>
    <w:p>
      <w:pPr>
        <w:pStyle w:val="ListBullet"/>
        <w:spacing w:after="40"/>
      </w:pPr>
      <w:r>
        <w:rPr>
          <w:rFonts w:ascii="Calibri" w:hAnsi="Calibri"/>
          <w:b/>
          <w:i w:val="0"/>
          <w:sz w:val="22"/>
        </w:rPr>
        <w:t xml:space="preserve">Top-down vs bottom-up: </w:t>
      </w:r>
      <w:r>
        <w:rPr>
          <w:rFonts w:ascii="Calibri" w:hAnsi="Calibri"/>
          <w:b w:val="0"/>
          <w:i w:val="0"/>
          <w:sz w:val="22"/>
        </w:rPr>
        <w:t>where both views exist, both must be modeled and the reconciliation surfaced and explained on the assumptions tab - not hidden in a side calculation.</w:t>
      </w:r>
    </w:p>
    <w:p>
      <w:pPr>
        <w:spacing w:before="280" w:after="80"/>
      </w:pPr>
      <w:r>
        <w:rPr>
          <w:rFonts w:ascii="Calibri" w:hAnsi="Calibri"/>
          <w:b/>
          <w:i w:val="0"/>
          <w:color w:val="1F2733"/>
          <w:sz w:val="26"/>
        </w:rPr>
        <w:t>3.3 Target Assessment Slide Deck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Preliminary findings deck for the IC pre-read. Length is normal preliminary findings size - approximately ten to twenty-five slides depending on deal complexity. Do not artificially constrain to five slides or fewer; the IC reads enough decks to know when a preliminary finding has been compressed below the evidentiary threshold.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Required sections (in order):</w:t>
      </w:r>
    </w:p>
    <w:p>
      <w:pPr>
        <w:pStyle w:val="ListBullet"/>
        <w:spacing w:after="40"/>
      </w:pPr>
      <w:r>
        <w:rPr>
          <w:rFonts w:ascii="Calibri" w:hAnsi="Calibri"/>
          <w:b w:val="0"/>
          <w:i w:val="0"/>
          <w:sz w:val="22"/>
        </w:rPr>
        <w:t>Asset profile - operating footprint, scale, channel mix, ownership.</w:t>
      </w:r>
    </w:p>
    <w:p>
      <w:pPr>
        <w:pStyle w:val="ListBullet"/>
        <w:spacing w:after="40"/>
      </w:pPr>
      <w:r>
        <w:rPr>
          <w:rFonts w:ascii="Calibri" w:hAnsi="Calibri"/>
          <w:b w:val="0"/>
          <w:i w:val="0"/>
          <w:sz w:val="22"/>
        </w:rPr>
        <w:t>Comparable benchmarking - listed and precedent-transaction comparables, with explicit scale-haircut where any comparable is at materially different revenue scale (factor of 5x or more), and explicit product-mix adjustment where the comparable is in an adjacent rather than pure-play sub-sector.</w:t>
      </w:r>
    </w:p>
    <w:p>
      <w:pPr>
        <w:pStyle w:val="ListBullet"/>
        <w:spacing w:after="40"/>
      </w:pPr>
      <w:r>
        <w:rPr>
          <w:rFonts w:ascii="Calibri" w:hAnsi="Calibri"/>
          <w:b w:val="0"/>
          <w:i w:val="0"/>
          <w:sz w:val="22"/>
        </w:rPr>
        <w:t>Top-line opportunities - revenue / volume / mix levers.</w:t>
      </w:r>
    </w:p>
    <w:p>
      <w:pPr>
        <w:pStyle w:val="ListBullet"/>
        <w:spacing w:after="40"/>
      </w:pPr>
      <w:r>
        <w:rPr>
          <w:rFonts w:ascii="Calibri" w:hAnsi="Calibri"/>
          <w:b w:val="0"/>
          <w:i w:val="0"/>
          <w:sz w:val="22"/>
        </w:rPr>
        <w:t>Bottom-line opportunities - margin / cost / capex levers.</w:t>
      </w:r>
    </w:p>
    <w:p>
      <w:pPr>
        <w:pStyle w:val="ListBullet"/>
        <w:spacing w:after="40"/>
      </w:pPr>
      <w:r>
        <w:rPr>
          <w:rFonts w:ascii="Calibri" w:hAnsi="Calibri"/>
          <w:b w:val="0"/>
          <w:i w:val="0"/>
          <w:sz w:val="22"/>
        </w:rPr>
        <w:t>Risks - top three to five prioritized risks (see Section 4).</w:t>
      </w:r>
    </w:p>
    <w:p>
      <w:pPr>
        <w:pStyle w:val="ListBullet"/>
        <w:spacing w:after="40"/>
      </w:pPr>
      <w:r>
        <w:rPr>
          <w:rFonts w:ascii="Calibri" w:hAnsi="Calibri"/>
          <w:b w:val="0"/>
          <w:i w:val="0"/>
          <w:sz w:val="22"/>
        </w:rPr>
        <w:t>Key findings synthesis - top three to five findings, each carrying a clear positive / negative direction - what we believe; what we don't yet know.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Slides should be readable as standalone artifacts; assume the IC reader has the deck on screen and the deal materials are not at hand.</w:t>
      </w:r>
    </w:p>
    <w:p>
      <w:pPr>
        <w:spacing w:before="280" w:after="80"/>
      </w:pPr>
      <w:r>
        <w:rPr>
          <w:rFonts w:ascii="Calibri" w:hAnsi="Calibri"/>
          <w:b/>
          <w:i w:val="0"/>
          <w:color w:val="1F2733"/>
          <w:sz w:val="26"/>
        </w:rPr>
        <w:t>3.4 Briefing Video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Single take, talking head or voiceover-with-deck. The senior partner watches this immediately before the IC; the constraint is the partner's time, not production polish. Open with a brief primer covering the asset's supply chain end-to-end, production economics, and by-product / revenue-offset economics so the senior partner has the basics before the findings.</w:t>
      </w:r>
    </w:p>
    <w:p>
      <w:pPr>
        <w:pStyle w:val="ListBullet"/>
        <w:spacing w:after="40"/>
      </w:pPr>
      <w:r>
        <w:rPr>
          <w:rFonts w:ascii="Calibri" w:hAnsi="Calibri"/>
          <w:b/>
          <w:i w:val="0"/>
          <w:sz w:val="22"/>
        </w:rPr>
        <w:t xml:space="preserve">Content structure: </w:t>
      </w:r>
      <w:r>
        <w:rPr>
          <w:rFonts w:ascii="Calibri" w:hAnsi="Calibri"/>
          <w:b w:val="0"/>
          <w:i w:val="0"/>
          <w:sz w:val="22"/>
        </w:rPr>
        <w:t>a primer (supply chain / production economics / by-product economics), followed by the three most important findings, followed by the three most important open questions for confirmatory DD. Three plus three after the primer. No recommendation.</w:t>
      </w:r>
    </w:p>
    <w:p>
      <w:pPr>
        <w:pStyle w:val="ListBullet"/>
        <w:spacing w:after="40"/>
      </w:pPr>
      <w:r>
        <w:rPr>
          <w:rFonts w:ascii="Calibri" w:hAnsi="Calibri"/>
          <w:b/>
          <w:i w:val="0"/>
          <w:sz w:val="22"/>
        </w:rPr>
        <w:t xml:space="preserve">Subtitles: </w:t>
      </w:r>
      <w:r>
        <w:rPr>
          <w:rFonts w:ascii="Calibri" w:hAnsi="Calibri"/>
          <w:b w:val="0"/>
          <w:i w:val="0"/>
          <w:sz w:val="22"/>
        </w:rPr>
        <w:t>.srt file, verbatim and time-aligned to the audio. Subtitles must match the audio word-for-word - spot-checked at IC. Drift between audio and subtitles is treated as a deliverable defect.</w:t>
      </w:r>
    </w:p>
    <w:p>
      <w:pPr>
        <w:pStyle w:val="ListBullet"/>
        <w:spacing w:after="40"/>
      </w:pPr>
      <w:r>
        <w:rPr>
          <w:rFonts w:ascii="Calibri" w:hAnsi="Calibri"/>
          <w:b/>
          <w:i w:val="0"/>
          <w:sz w:val="22"/>
        </w:rPr>
        <w:t xml:space="preserve">Filenames: </w:t>
      </w:r>
      <w:r>
        <w:rPr>
          <w:rFonts w:ascii="Calibri" w:hAnsi="Calibri"/>
          <w:b w:val="0"/>
          <w:i w:val="0"/>
          <w:sz w:val="22"/>
        </w:rPr>
        <w:t>video and .srt must share the same stem so they ingest as a pair.</w:t>
      </w:r>
    </w:p>
    <w:p>
      <w:pPr>
        <w:spacing w:before="280" w:after="80"/>
      </w:pPr>
      <w:r>
        <w:rPr>
          <w:rFonts w:ascii="Calibri" w:hAnsi="Calibri"/>
          <w:b/>
          <w:i w:val="0"/>
          <w:color w:val="142C52"/>
          <w:sz w:val="32"/>
        </w:rPr>
        <w:t>4. Hard Rules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These rules are non-negotiable. A submission that violates any of them is returned to the deal team for rework before the IC reads it.</w:t>
      </w:r>
    </w:p>
    <w:p>
      <w:pPr>
        <w:pStyle w:val="ListNumber"/>
        <w:spacing w:after="80"/>
      </w:pPr>
      <w:r>
        <w:rPr>
          <w:rFonts w:ascii="Calibri" w:hAnsi="Calibri"/>
          <w:b/>
          <w:i w:val="0"/>
          <w:color w:val="1F2733"/>
          <w:sz w:val="22"/>
        </w:rPr>
        <w:t xml:space="preserve">No recommendations. </w:t>
      </w:r>
      <w:r>
        <w:rPr>
          <w:rFonts w:ascii="Calibri" w:hAnsi="Calibri"/>
          <w:b w:val="0"/>
          <w:i w:val="0"/>
          <w:sz w:val="22"/>
        </w:rPr>
        <w:t>Pre-LOI deliverables are a preliminary assessment for the IC - not an IC pitch. Decks, videos, or memos taking a recommendation position (proceed / pass / bid at X) will be rejected. Findings, risks, and open questions only. The IC decides.</w:t>
      </w:r>
    </w:p>
    <w:p>
      <w:pPr>
        <w:pStyle w:val="ListNumber"/>
        <w:spacing w:after="80"/>
      </w:pPr>
      <w:r>
        <w:rPr>
          <w:rFonts w:ascii="Calibri" w:hAnsi="Calibri"/>
          <w:b/>
          <w:i w:val="0"/>
          <w:color w:val="1F2733"/>
          <w:sz w:val="22"/>
        </w:rPr>
        <w:t xml:space="preserve">Findings + risks + open questions only. </w:t>
      </w:r>
      <w:r>
        <w:rPr>
          <w:rFonts w:ascii="Calibri" w:hAnsi="Calibri"/>
          <w:b w:val="0"/>
          <w:i w:val="0"/>
          <w:sz w:val="22"/>
        </w:rPr>
        <w:t>Every deliverable should be parseable along these three axes. If a sentence is not a finding, a risk, or an open question, it generally should not be in the deliverable.</w:t>
      </w:r>
    </w:p>
    <w:p>
      <w:pPr>
        <w:pStyle w:val="ListNumber"/>
        <w:spacing w:after="80"/>
      </w:pPr>
      <w:r>
        <w:rPr>
          <w:rFonts w:ascii="Calibri" w:hAnsi="Calibri"/>
          <w:b/>
          <w:i w:val="0"/>
          <w:color w:val="1F2733"/>
          <w:sz w:val="22"/>
        </w:rPr>
        <w:t xml:space="preserve">Additive treatment of private targets. </w:t>
      </w:r>
      <w:r>
        <w:rPr>
          <w:rFonts w:ascii="Calibri" w:hAnsi="Calibri"/>
          <w:b w:val="0"/>
          <w:i w:val="0"/>
          <w:sz w:val="22"/>
        </w:rPr>
        <w:t>Where a target is private and does not appear in public market reports, treat the target as additive to the public producer / competitor roster. Do not shrink the shares of known public producers to make a private target's share-of-market fit.</w:t>
      </w:r>
    </w:p>
    <w:p>
      <w:pPr>
        <w:pStyle w:val="ListNumber"/>
        <w:spacing w:after="80"/>
      </w:pPr>
      <w:r>
        <w:rPr>
          <w:rFonts w:ascii="Calibri" w:hAnsi="Calibri"/>
          <w:b/>
          <w:i w:val="0"/>
          <w:color w:val="1F2733"/>
          <w:sz w:val="22"/>
        </w:rPr>
        <w:t xml:space="preserve">Comparable scale haircut. </w:t>
      </w:r>
      <w:r>
        <w:rPr>
          <w:rFonts w:ascii="Calibri" w:hAnsi="Calibri"/>
          <w:b w:val="0"/>
          <w:i w:val="0"/>
          <w:sz w:val="22"/>
        </w:rPr>
        <w:t>Comp benchmarking must include an explicit scale-haircut for any comparable that is at materially different revenue scale relative to the target - defined as a factor of 5x or more. The haircut, its size, and its rationale must be visible in the deck.</w:t>
      </w:r>
    </w:p>
    <w:p>
      <w:pPr>
        <w:pStyle w:val="ListNumber"/>
        <w:spacing w:after="80"/>
      </w:pPr>
      <w:r>
        <w:rPr>
          <w:rFonts w:ascii="Calibri" w:hAnsi="Calibri"/>
          <w:b/>
          <w:i w:val="0"/>
          <w:color w:val="1F2733"/>
          <w:sz w:val="22"/>
        </w:rPr>
        <w:t xml:space="preserve">Product-mix adjustment. </w:t>
      </w:r>
      <w:r>
        <w:rPr>
          <w:rFonts w:ascii="Calibri" w:hAnsi="Calibri"/>
          <w:b w:val="0"/>
          <w:i w:val="0"/>
          <w:sz w:val="22"/>
        </w:rPr>
        <w:t>Comp benchmarking must include an explicit product-mix adjustment where a comparable is in an adjacent (not pure-play) sub-sector. Adjustments must be visible, not buried.</w:t>
      </w:r>
    </w:p>
    <w:p>
      <w:pPr>
        <w:pStyle w:val="ListNumber"/>
        <w:spacing w:after="80"/>
      </w:pPr>
      <w:r>
        <w:rPr>
          <w:rFonts w:ascii="Calibri" w:hAnsi="Calibri"/>
          <w:b/>
          <w:i w:val="0"/>
          <w:color w:val="1F2733"/>
          <w:sz w:val="22"/>
        </w:rPr>
        <w:t xml:space="preserve">Top three to five prioritized risks. </w:t>
      </w:r>
      <w:r>
        <w:rPr>
          <w:rFonts w:ascii="Calibri" w:hAnsi="Calibri"/>
          <w:b w:val="0"/>
          <w:i w:val="0"/>
          <w:sz w:val="22"/>
        </w:rPr>
        <w:t>Risk sections list the top three to five prioritized risks. More than five dilutes the IC's read; fewer than three suggests the deal team has not pressure-tested.</w:t>
      </w:r>
    </w:p>
    <w:p>
      <w:pPr>
        <w:spacing w:before="280" w:after="80"/>
      </w:pPr>
      <w:r>
        <w:rPr>
          <w:rFonts w:ascii="Calibri" w:hAnsi="Calibri"/>
          <w:b/>
          <w:i w:val="0"/>
          <w:color w:val="142C52"/>
          <w:sz w:val="32"/>
        </w:rPr>
        <w:t>5. Output Validation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On submission, Halberd's IC office runs the following structural checks. Failures are returned to the deal team before the IC reads the materials.</w:t>
      </w:r>
    </w:p>
    <w:p>
      <w:pPr>
        <w:pStyle w:val="ListBullet"/>
        <w:spacing w:after="40"/>
      </w:pPr>
      <w:r>
        <w:rPr>
          <w:rFonts w:ascii="Calibri" w:hAnsi="Calibri"/>
          <w:b w:val="0"/>
          <w:i w:val="0"/>
          <w:sz w:val="22"/>
        </w:rPr>
        <w:t>File types match Section 2 (.tex + .pdf, .xlsx, .pptx, .mp4 + .srt).</w:t>
      </w:r>
    </w:p>
    <w:p>
      <w:pPr>
        <w:pStyle w:val="ListBullet"/>
        <w:spacing w:after="40"/>
      </w:pPr>
      <w:r>
        <w:rPr>
          <w:rFonts w:ascii="Calibri" w:hAnsi="Calibri"/>
          <w:b w:val="0"/>
          <w:i w:val="0"/>
          <w:sz w:val="22"/>
        </w:rPr>
        <w:t>Market overview .pdf recompiles cleanly from the submitted .tex source.</w:t>
      </w:r>
    </w:p>
    <w:p>
      <w:pPr>
        <w:pStyle w:val="ListBullet"/>
        <w:spacing w:after="40"/>
      </w:pPr>
      <w:r>
        <w:rPr>
          <w:rFonts w:ascii="Calibri" w:hAnsi="Calibri"/>
          <w:b w:val="0"/>
          <w:i w:val="0"/>
          <w:sz w:val="22"/>
        </w:rPr>
        <w:t>File-naming conventions: shared stems for paired files; project codename in filename.</w:t>
      </w:r>
    </w:p>
    <w:p>
      <w:pPr>
        <w:spacing w:before="360" w:after="40"/>
        <w:jc w:val="center"/>
      </w:pPr>
      <w:r>
        <w:rPr>
          <w:rFonts w:ascii="Calibri" w:hAnsi="Calibri"/>
          <w:b w:val="0"/>
          <w:i w:val="0"/>
          <w:color w:val="C8CED6"/>
          <w:sz w:val="16"/>
        </w:rPr>
        <w:t>----------------------------------------</w:t>
      </w:r>
    </w:p>
    <w:p>
      <w:pPr>
        <w:spacing w:after="0"/>
        <w:jc w:val="center"/>
      </w:pPr>
      <w:r>
        <w:rPr>
          <w:rFonts w:ascii="Calibri" w:hAnsi="Calibri"/>
          <w:b w:val="0"/>
          <w:i/>
          <w:color w:val="3A4A5E"/>
          <w:sz w:val="18"/>
        </w:rPr>
        <w:t>Halberd Capital Partners - Internal Methodology - Confidential</w:t>
      </w:r>
    </w:p>
    <w:sectPr w:rsidR="00FC693F" w:rsidRPr="0006063C" w:rsidSect="00034616">
      <w:headerReference w:type="default" r:id="rId9"/>
      <w:footerReference w:type="default" r:id="rId10"/>
      <w:headerReference w:type="even" r:id="rId11"/>
      <w:footerReference w:type="even" r:id="rId12"/>
      <w:headerReference w:type="first" r:id="rId13"/>
      <w:footerReference w:type="first" r:id="rId14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Pemberton</dc:creator>
  <cp:keywords/>
  <dc:description>generated by python-docx</dc:description>
  <cp:lastModifiedBy>Hugh Pemberton</cp:lastModifiedBy>
  <cp:revision>1</cp:revision>
  <dcterms:created xsi:type="dcterms:W3CDTF">2024-09-15T14:00:00Z</dcterms:created>
  <dcterms:modified xsi:type="dcterms:W3CDTF">2024-09-15T14:00:00Z</dcterms:modified>
  <cp:category/>
</cp:coreProperties>
</file>