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C52"/>
          <w:sz w:val="32"/>
        </w:rPr>
        <w:t>Internal Conference Debrief Compendium</w:t>
      </w:r>
    </w:p>
    <w:p>
      <w:r>
        <w:rPr>
          <w:b/>
          <w:color w:val="1F2733"/>
          <w:sz w:val="22"/>
        </w:rPr>
        <w:t>PE Industry Events 2025 - Halberd Attendance Summaries</w:t>
      </w:r>
    </w:p>
    <w:p>
      <w:r>
        <w:t>Maintained by Marketing &amp; Comms (Sigrid Pohl) for internal circulation only. Each entry is the attending personnel member's one-page-or-less debrief, filed within 10 business days of return per T&amp;E policy. Debriefs are intended as a quick scan for colleagues who could not attend; the full session notebooks live on each individual's OneDrive.</w:t>
      </w:r>
    </w:p>
    <w:p>
      <w:pPr>
        <w:pStyle w:val="Heading1"/>
      </w:pPr>
      <w:r>
        <w:rPr>
          <w:color w:val="142C52"/>
        </w:rPr>
        <w:t>SuperReturn International - Berlin (June 2025)</w:t>
      </w:r>
    </w:p>
    <w:p>
      <w:r>
        <w:t>Attendees: Daniel Reyes, Maya Okonkwo</w:t>
      </w:r>
    </w:p>
    <w:p>
      <w:pPr>
        <w:pStyle w:val="Heading2"/>
      </w:pPr>
      <w:r>
        <w:rPr>
          <w:color w:val="1F2733"/>
        </w:rPr>
        <w:t>LP appetite</w:t>
      </w:r>
    </w:p>
    <w:p>
      <w:r>
        <w:t>Sentiment around mid-market generalists has stabilised after the 2024 air-pocket. Most LP conversations were about deployment pacing rather than commitment size, with a particular interest in funds that can demonstrate measured pacing through the 2022-23 vintage. Several Asia-Pacific LPs flagged interest in any transcontinental tuck-in strategies (less crowded; harder to assemble).</w:t>
      </w:r>
    </w:p>
    <w:p>
      <w:pPr>
        <w:pStyle w:val="Heading2"/>
      </w:pPr>
      <w:r>
        <w:rPr>
          <w:color w:val="1F2733"/>
        </w:rPr>
        <w:t>Sector themes</w:t>
      </w:r>
    </w:p>
    <w:p>
      <w:r>
        <w:t>Industrial services, specialty distribution, and pet care featured heavily. Food and agribusiness was a thinner track than 2024 but the sessions were well-attended; tone was cautious on cyclical commodity exposures and constructive on branded specialty food platforms.</w:t>
      </w:r>
    </w:p>
    <w:p>
      <w:pPr>
        <w:pStyle w:val="Heading2"/>
      </w:pPr>
      <w:r>
        <w:rPr>
          <w:color w:val="1F2733"/>
        </w:rPr>
        <w:t>Deal flow</w:t>
      </w:r>
    </w:p>
    <w:p>
      <w:r>
        <w:t>European mid-market dealflow continues to be sourced primarily by sell-side advisors with limited proprietary deal share. UK auctions are pricing tightly; DACH families are slow-moving but quality.</w:t>
      </w:r>
    </w:p>
    <w:p>
      <w:pPr>
        <w:pStyle w:val="Heading2"/>
      </w:pPr>
      <w:r>
        <w:rPr>
          <w:color w:val="1F2733"/>
        </w:rPr>
        <w:t>Talent</w:t>
      </w:r>
    </w:p>
    <w:p>
      <w:r>
        <w:t>Several quality bench Principals from European competitor funds appeared open to conversations; flagged to Lara Bennett for follow-up.</w:t>
      </w:r>
    </w:p>
    <w:p>
      <w:pPr>
        <w:pStyle w:val="Heading2"/>
      </w:pPr>
      <w:r>
        <w:rPr>
          <w:color w:val="1F2733"/>
        </w:rPr>
        <w:t>Action items</w:t>
      </w:r>
    </w:p>
    <w:p>
      <w:r>
        <w:t>Send post-conference thank-you emails to LPs A, B, C, D, E (handled by IR). Marcus Vale to follow up with two operations heads of European platforms. Maya to circulate the consumer-credit panel notes.</w:t>
      </w:r>
    </w:p>
    <w:p>
      <w:pPr>
        <w:pStyle w:val="Heading1"/>
      </w:pPr>
      <w:r>
        <w:rPr>
          <w:color w:val="142C52"/>
        </w:rPr>
        <w:t>PEI Operating Partners Forum - New York (September 2025)</w:t>
      </w:r>
    </w:p>
    <w:p>
      <w:r>
        <w:t>Attendees: Marcus Vale, Priya Iyer</w:t>
      </w:r>
    </w:p>
    <w:p>
      <w:pPr>
        <w:pStyle w:val="Heading2"/>
      </w:pPr>
      <w:r>
        <w:rPr>
          <w:color w:val="1F2733"/>
        </w:rPr>
        <w:t>Top theme: AI deployment in portfolio</w:t>
      </w:r>
    </w:p>
    <w:p>
      <w:r>
        <w:t>Heavy session attendance on portfolio-wide AI rollouts. Common pattern: starting from finance &amp; accounting (close acceleration, AP/AR), moving into customer service and supply chain, with sales enablement next. Most participants flagged the people change-management challenge as larger than the technology challenge.</w:t>
      </w:r>
    </w:p>
    <w:p>
      <w:pPr>
        <w:pStyle w:val="Heading2"/>
      </w:pPr>
      <w:r>
        <w:rPr>
          <w:color w:val="1F2733"/>
        </w:rPr>
        <w:t>Procurement consolidation</w:t>
      </w:r>
    </w:p>
    <w:p>
      <w:r>
        <w:t>Several Operating Partners are exploring cross-portfolio buying clubs for insurance, freight, and IT services. Halberd has done insurance through our broker since 2022; the freight idea is worth a look - Marcus to scope after Q4.</w:t>
      </w:r>
    </w:p>
    <w:p>
      <w:pPr>
        <w:pStyle w:val="Heading2"/>
      </w:pPr>
      <w:r>
        <w:rPr>
          <w:color w:val="1F2733"/>
        </w:rPr>
        <w:t>ESG / human capital</w:t>
      </w:r>
    </w:p>
    <w:p>
      <w:r>
        <w:t>Conference de-emphasised the abstract sustainability theme and focused on workforce planning, retention, succession, and supply chain resilience. Tone is more practical than 2023-24.</w:t>
      </w:r>
    </w:p>
    <w:p>
      <w:pPr>
        <w:pStyle w:val="Heading2"/>
      </w:pPr>
      <w:r>
        <w:rPr>
          <w:color w:val="1F2733"/>
        </w:rPr>
        <w:t>Cross-portfolio initiatives</w:t>
      </w:r>
    </w:p>
    <w:p>
      <w:r>
        <w:t>Best practice sharing on EHS, cyber, and ERP rollouts. We are above median on cyber and below median on ERP harmonisation. ERP path is a 5-year programme; revisit in 2027 portfolio review.</w:t>
      </w:r>
    </w:p>
    <w:p>
      <w:pPr>
        <w:pStyle w:val="Heading2"/>
      </w:pPr>
      <w:r>
        <w:rPr>
          <w:color w:val="1F2733"/>
        </w:rPr>
        <w:t>Action items</w:t>
      </w:r>
    </w:p>
    <w:p>
      <w:r>
        <w:t>Marcus to share procurement consolidation deck on intranet. Priya to set up cross-portfolio commercial roundtable for Q1 2026. Joint paper to Operations Committee on AI roadmap by year-end.</w:t>
      </w:r>
    </w:p>
    <w:p>
      <w:pPr>
        <w:pStyle w:val="Heading1"/>
      </w:pPr>
      <w:r>
        <w:rPr>
          <w:color w:val="142C52"/>
        </w:rPr>
        <w:t>Milken Global Conference - Los Angeles (May 2025)</w:t>
      </w:r>
    </w:p>
    <w:p>
      <w:r>
        <w:t>Attendees: Hugh Pemberton, Vivian Holst</w:t>
      </w:r>
    </w:p>
    <w:p>
      <w:pPr>
        <w:pStyle w:val="Heading2"/>
      </w:pPr>
      <w:r>
        <w:rPr>
          <w:color w:val="1F2733"/>
        </w:rPr>
        <w:t>Macro tone</w:t>
      </w:r>
    </w:p>
    <w:p>
      <w:r>
        <w:t>Cautious-constructive. Capital markets opening up; tone on credit availability for sponsor-backed transactions notably better than 2024.</w:t>
      </w:r>
    </w:p>
    <w:p>
      <w:pPr>
        <w:pStyle w:val="Heading2"/>
      </w:pPr>
      <w:r>
        <w:rPr>
          <w:color w:val="1F2733"/>
        </w:rPr>
        <w:t>LP relationship building</w:t>
      </w:r>
    </w:p>
    <w:p>
      <w:r>
        <w:t>High-density LP environment as always. Hugh secured 12 sit-downs over 3 days; Vivian extended Consumer &amp; Agri vertical-specific conversations with three sovereigns and two large endowments.</w:t>
      </w:r>
    </w:p>
    <w:p>
      <w:pPr>
        <w:pStyle w:val="Heading2"/>
      </w:pPr>
      <w:r>
        <w:rPr>
          <w:color w:val="1F2733"/>
        </w:rPr>
        <w:t>Policy environment</w:t>
      </w:r>
    </w:p>
    <w:p>
      <w:r>
        <w:t>Geopolitical risk, supply chain reshaping, and energy transition continue to dominate. Tax and regulatory commentary on US Mid-market focused on carry and pass-through entity treatment; less consequential than 2024 cycle.</w:t>
      </w:r>
    </w:p>
    <w:p>
      <w:pPr>
        <w:pStyle w:val="Heading2"/>
      </w:pPr>
      <w:r>
        <w:rPr>
          <w:color w:val="1F2733"/>
        </w:rPr>
        <w:t>Sector views</w:t>
      </w:r>
    </w:p>
    <w:p>
      <w:r>
        <w:t>Consumer &amp; Agri was a sub-track again; food security, protein dynamics, and water remained perennial topics. Useful background but no actionable deal flow surfaced for the platform.</w:t>
      </w:r>
    </w:p>
    <w:p>
      <w:pPr>
        <w:pStyle w:val="Heading1"/>
      </w:pPr>
      <w:r>
        <w:rPr>
          <w:color w:val="142C52"/>
        </w:rPr>
        <w:t>BVCA Summit - London (October 2025)</w:t>
      </w:r>
    </w:p>
    <w:p>
      <w:r>
        <w:t>Attendees: Aisling O'Donnell, Roger Cantrell</w:t>
      </w:r>
    </w:p>
    <w:p>
      <w:pPr>
        <w:pStyle w:val="Heading2"/>
      </w:pPr>
      <w:r>
        <w:rPr>
          <w:color w:val="1F2733"/>
        </w:rPr>
        <w:t>UK and European fundraising environment</w:t>
      </w:r>
    </w:p>
    <w:p>
      <w:r>
        <w:t>Tone on European LP appetite cautiously improving. UK pension reform discussions remained background. Several LPs continue to consolidate manager rosters; mid-cap generalists with discrete vertical edges are well-positioned.</w:t>
      </w:r>
    </w:p>
    <w:p>
      <w:pPr>
        <w:pStyle w:val="Heading2"/>
      </w:pPr>
      <w:r>
        <w:rPr>
          <w:color w:val="1F2733"/>
        </w:rPr>
        <w:t>Regulatory scan</w:t>
      </w:r>
    </w:p>
    <w:p>
      <w:r>
        <w:t>AIFMD II implementation tracking, FCA's continued focus on disclosure quality, and UK consumer-duty cross-impacts on portfolio companies. Aisling shared a one-pager on AIFMD II actions for Halberd's UK feeder.</w:t>
      </w:r>
    </w:p>
    <w:p>
      <w:pPr>
        <w:pStyle w:val="Heading2"/>
      </w:pPr>
      <w:r>
        <w:rPr>
          <w:color w:val="1F2733"/>
        </w:rPr>
        <w:t>Cross-border deal flow</w:t>
      </w:r>
    </w:p>
    <w:p>
      <w:r>
        <w:t>Continental managers asking about Atlantic-to-Atlantic tuck-ins; conversation logged for future.</w:t>
      </w:r>
    </w:p>
    <w:p>
      <w:pPr>
        <w:pStyle w:val="Heading1"/>
      </w:pPr>
      <w:r>
        <w:rPr>
          <w:color w:val="142C52"/>
        </w:rPr>
        <w:t>IPEM Cannes - France (January 2025)</w:t>
      </w:r>
    </w:p>
    <w:p>
      <w:r>
        <w:t>Attendees: Daniel Reyes</w:t>
      </w:r>
    </w:p>
    <w:p>
      <w:pPr>
        <w:pStyle w:val="Heading2"/>
      </w:pPr>
      <w:r>
        <w:rPr>
          <w:color w:val="1F2733"/>
        </w:rPr>
        <w:t>Networking</w:t>
      </w:r>
    </w:p>
    <w:p>
      <w:r>
        <w:t>Heavy week of GP-to-GP and GP-to-advisor relationship maintenance. New connections in industrial services and food adjacencies.</w:t>
      </w:r>
    </w:p>
    <w:p>
      <w:pPr>
        <w:pStyle w:val="Heading2"/>
      </w:pPr>
      <w:r>
        <w:rPr>
          <w:color w:val="1F2733"/>
        </w:rPr>
        <w:t>Sectoral commentary</w:t>
      </w:r>
    </w:p>
    <w:p>
      <w:r>
        <w:t>European foodservice continues to be choppy; specialty food retail more constructive. Branded ingredients track was crowded with strategic interest.</w:t>
      </w:r>
    </w:p>
    <w:p>
      <w:pPr>
        <w:pStyle w:val="Heading1"/>
      </w:pPr>
      <w:r>
        <w:rPr>
          <w:color w:val="142C52"/>
        </w:rPr>
        <w:t>Sandlot Mid-Market Conference - Park City (March 2025)</w:t>
      </w:r>
    </w:p>
    <w:p>
      <w:r>
        <w:t>Attendees: Theo Lindgren, Iris Beaumont</w:t>
      </w:r>
    </w:p>
    <w:p>
      <w:pPr>
        <w:pStyle w:val="Heading2"/>
      </w:pPr>
      <w:r>
        <w:rPr>
          <w:color w:val="1F2733"/>
        </w:rPr>
        <w:t>Sub-USD 1B EBITDA universe</w:t>
      </w:r>
    </w:p>
    <w:p>
      <w:r>
        <w:t>The deal flow at this size remained healthy through 2025. Sponsor-to-sponsor exits are slowly normalising.</w:t>
      </w:r>
    </w:p>
    <w:p>
      <w:pPr>
        <w:pStyle w:val="Heading2"/>
      </w:pPr>
      <w:r>
        <w:rPr>
          <w:color w:val="1F2733"/>
        </w:rPr>
        <w:t>Diligence trends</w:t>
      </w:r>
    </w:p>
    <w:p>
      <w:r>
        <w:t>More diligence-time spent on supply chain mapping and tariff exposure than 2024. ESG diligence has matured into a workmanlike checklist; less of a marketing exercise.</w:t>
      </w:r>
    </w:p>
    <w:p>
      <w:pPr>
        <w:pStyle w:val="Heading2"/>
      </w:pPr>
      <w:r>
        <w:rPr>
          <w:color w:val="1F2733"/>
        </w:rPr>
        <w:t>Networking outcomes</w:t>
      </w:r>
    </w:p>
    <w:p>
      <w:r>
        <w:t>Iris built CDD-firm relationships across three boutique consultancies covering consumer, industrial, and food. Worth referencing as Halberd's vendor list refreshes.</w:t>
      </w:r>
    </w:p>
    <w:p>
      <w:pPr>
        <w:pStyle w:val="Heading1"/>
      </w:pPr>
      <w:r>
        <w:rPr>
          <w:color w:val="142C52"/>
        </w:rPr>
        <w:t>AVCJ Forum - Hong Kong (November 2025)</w:t>
      </w:r>
    </w:p>
    <w:p>
      <w:r>
        <w:t>Attendees: Hugh Pemberton</w:t>
      </w:r>
    </w:p>
    <w:p>
      <w:pPr>
        <w:pStyle w:val="Heading2"/>
      </w:pPr>
      <w:r>
        <w:rPr>
          <w:color w:val="1F2733"/>
        </w:rPr>
        <w:t>Asia LP commentary</w:t>
      </w:r>
    </w:p>
    <w:p>
      <w:r>
        <w:t>Conversations focused on capital allocation across regions. Several Asia-based LPs flagged appetite for North-American-led platform strategies with Asian operating capability.</w:t>
      </w:r>
    </w:p>
    <w:p>
      <w:pPr>
        <w:pStyle w:val="Heading2"/>
      </w:pPr>
      <w:r>
        <w:rPr>
          <w:color w:val="1F2733"/>
        </w:rPr>
        <w:t>Geopolitics</w:t>
      </w:r>
    </w:p>
    <w:p>
      <w:r>
        <w:t>Sober tone on trade policy and supply-chain rebalancing. Less alarmist than the 2023-24 narrative.</w:t>
      </w:r>
    </w:p>
    <w:p>
      <w:pPr>
        <w:pStyle w:val="Heading1"/>
      </w:pPr>
      <w:r>
        <w:rPr>
          <w:color w:val="142C52"/>
        </w:rPr>
        <w:t>Global ABS - Barcelona (June 2025)</w:t>
      </w:r>
    </w:p>
    <w:p>
      <w:r>
        <w:t>Attendees: Roger Cantrell</w:t>
      </w:r>
    </w:p>
    <w:p>
      <w:pPr>
        <w:pStyle w:val="Heading2"/>
      </w:pPr>
      <w:r>
        <w:rPr>
          <w:color w:val="1F2733"/>
        </w:rPr>
        <w:t>Capital markets technicals</w:t>
      </w:r>
    </w:p>
    <w:p>
      <w:r>
        <w:t>Constructive read on the leveraged-credit market through the second half. CLO formation pipeline remains supportive of mid-market lending.</w:t>
      </w:r>
    </w:p>
    <w:p>
      <w:pPr>
        <w:pStyle w:val="Heading2"/>
      </w:pPr>
      <w:r>
        <w:rPr>
          <w:color w:val="1F2733"/>
        </w:rPr>
        <w:t>Direct lending interaction</w:t>
      </w:r>
    </w:p>
    <w:p>
      <w:r>
        <w:t>Conversations with seven of our regular direct lenders; dialogue on covenant patterns and pricing trends across recent transactions.</w:t>
      </w:r>
    </w:p>
    <w:p>
      <w:pPr>
        <w:pStyle w:val="Heading1"/>
      </w:pPr>
      <w:r>
        <w:rPr>
          <w:color w:val="142C52"/>
        </w:rPr>
        <w:t>2026 - Approved Conference Plan (Draft, for Operations Committee Review)</w:t>
      </w:r>
    </w:p>
    <w:p>
      <w:r>
        <w:t>Draft slate maintained by Marketing &amp; Comms; final approvals at January 2026 Ops Committee.</w:t>
      </w:r>
    </w:p>
    <w:p>
      <w:pPr>
        <w:pStyle w:val="ListBullet"/>
      </w:pPr>
      <w:r>
        <w:t>World Economic Forum, Davos - January 2026 (Hugh, Vivian)</w:t>
      </w:r>
    </w:p>
    <w:p>
      <w:pPr>
        <w:pStyle w:val="ListBullet"/>
      </w:pPr>
      <w:r>
        <w:t>IPEM Cannes - January 2026 (Daniel, Maya)</w:t>
      </w:r>
    </w:p>
    <w:p>
      <w:pPr>
        <w:pStyle w:val="ListBullet"/>
      </w:pPr>
      <w:r>
        <w:t>SuperReturn Berlin - June 2026 (firm-wide track)</w:t>
      </w:r>
    </w:p>
    <w:p>
      <w:pPr>
        <w:pStyle w:val="ListBullet"/>
      </w:pPr>
      <w:r>
        <w:t>PEI Operating Partners Forum - September 2026 (Marcus, Priya)</w:t>
      </w:r>
    </w:p>
    <w:p>
      <w:pPr>
        <w:pStyle w:val="ListBullet"/>
      </w:pPr>
      <w:r>
        <w:t>BVCA Summit - October 2026 (Aisling, Roger)</w:t>
      </w:r>
    </w:p>
    <w:p>
      <w:pPr>
        <w:pStyle w:val="ListBullet"/>
      </w:pPr>
      <w:r>
        <w:t>AVCJ Forum - November 2026 (TBD)</w:t>
      </w:r>
    </w:p>
    <w:p>
      <w:pPr>
        <w:pStyle w:val="ListBullet"/>
      </w:pPr>
      <w:r>
        <w:t>Sandlot Mid-Market - March 2026 (Theo, Iris)</w:t>
      </w:r>
    </w:p>
    <w:p>
      <w:pPr>
        <w:pStyle w:val="ListBullet"/>
      </w:pPr>
      <w:r>
        <w:t>Milken Global - May 2026 (Hugh, Vivian)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