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42C52"/>
          <w:sz w:val="32"/>
        </w:rPr>
        <w:t>Halberd Capital Partners</w:t>
      </w:r>
    </w:p>
    <w:p>
      <w:r>
        <w:rPr>
          <w:b/>
          <w:color w:val="1F2733"/>
          <w:sz w:val="22"/>
        </w:rPr>
        <w:t>Global Travel &amp; Expense Policy - Effective 1 January 2026</w:t>
      </w:r>
    </w:p>
    <w:p>
      <w:r>
        <w:t>Document owner: Patrick Lefevre, Head of Treasury. Approved by Operations Committee 2025-12-04. Supersedes T&amp;E Policy v3.2 (effective 2024-07-01). Annual review cycle.</w:t>
      </w:r>
    </w:p>
    <w:p/>
    <w:p>
      <w:pPr>
        <w:pStyle w:val="Heading1"/>
      </w:pPr>
      <w:r>
        <w:rPr>
          <w:color w:val="142C52"/>
        </w:rPr>
        <w:t>1. Purpose &amp; Scope</w:t>
      </w:r>
    </w:p>
    <w:p>
      <w:r>
        <w:t>This policy establishes the global rules and reimbursement standards for business-related travel, entertainment, and miscellaneous business expenses incurred by all Halberd Capital Partners personnel including investment professionals, operating partners, advisors retained on engagement letters, and full-time staff in support functions. It applies firm-wide across the New York, London, Singapore, and Sao Paulo offices and to any travel originating from a remote work arrangement approved by the Head of Talent.</w:t>
      </w:r>
    </w:p>
    <w:p>
      <w:r>
        <w:t>Where a portfolio company has its own T&amp;E policy, employees of the portfolio company remain subject to that policy. Operating Partners performing portfolio company work are expected to follow the more conservative of this policy or the relevant portfolio company policy.</w:t>
      </w:r>
    </w:p>
    <w:p>
      <w:pPr>
        <w:pStyle w:val="Heading1"/>
      </w:pPr>
      <w:r>
        <w:rPr>
          <w:color w:val="142C52"/>
        </w:rPr>
        <w:t>2. Authorisation</w:t>
      </w:r>
    </w:p>
    <w:p>
      <w:pPr>
        <w:pStyle w:val="Heading2"/>
      </w:pPr>
      <w:r>
        <w:rPr>
          <w:color w:val="1F2733"/>
        </w:rPr>
        <w:t>2.1 Pre-trip approval</w:t>
      </w:r>
    </w:p>
    <w:p>
      <w:r>
        <w:t>All international travel and any domestic travel expected to exceed USD 5,000 in total cost requires written pre-approval by a Partner or by the relevant Operating Committee member. Pre-approval is logged in Concur via the 'Trip Request' workflow and must include estimated cost, business purpose, and counterparties or events to be attended.</w:t>
      </w:r>
    </w:p>
    <w:p>
      <w:r>
        <w:t>Domestic travel under USD 5,000 may be self-approved by Vice Presidents and above. Associates and Senior Associates require a Principal-level approver on any travel. Interns may not travel on firm expense without explicit written approval from the Head of Talent.</w:t>
      </w:r>
    </w:p>
    <w:p>
      <w:pPr>
        <w:pStyle w:val="Heading2"/>
      </w:pPr>
      <w:r>
        <w:rPr>
          <w:color w:val="1F2733"/>
        </w:rPr>
        <w:t>2.2 Cancellation and change fees</w:t>
      </w:r>
    </w:p>
    <w:p>
      <w:r>
        <w:t>Cancellation and change fees are reimbursable provided the cancellation reason is documented and approved retroactively by the original pre-approver. Change fees driven by personal scheduling preferences (extending a trip for personal travel; departing earlier than business required) are the personal expense of the traveller.</w:t>
      </w:r>
    </w:p>
    <w:p>
      <w:pPr>
        <w:pStyle w:val="Heading1"/>
      </w:pPr>
      <w:r>
        <w:rPr>
          <w:color w:val="142C52"/>
        </w:rPr>
        <w:t>3. Air Travel</w:t>
      </w:r>
    </w:p>
    <w:p>
      <w:pPr>
        <w:pStyle w:val="Heading2"/>
      </w:pPr>
      <w:r>
        <w:rPr>
          <w:color w:val="1F2733"/>
        </w:rPr>
        <w:t>3.1 Cabin class entitlement</w:t>
      </w:r>
    </w:p>
    <w:p>
      <w:pPr>
        <w:pStyle w:val="ListBullet"/>
      </w:pPr>
      <w:r>
        <w:t>Domestic flights under 4 hours scheduled flying time: economy / coach class.</w:t>
      </w:r>
    </w:p>
    <w:p>
      <w:pPr>
        <w:pStyle w:val="ListBullet"/>
      </w:pPr>
      <w:r>
        <w:t>Domestic flights 4 hours or longer: premium economy permitted; business class permitted for Partners only.</w:t>
      </w:r>
    </w:p>
    <w:p>
      <w:pPr>
        <w:pStyle w:val="ListBullet"/>
      </w:pPr>
      <w:r>
        <w:t>Trans-Atlantic flights (5-8 hours): premium economy permitted at all levels; business class permitted for VP and above when an in-person meeting is scheduled within 12 hours of arrival.</w:t>
      </w:r>
    </w:p>
    <w:p>
      <w:pPr>
        <w:pStyle w:val="ListBullet"/>
      </w:pPr>
      <w:r>
        <w:t>Trans-Pacific and ultra-long-haul flights (8+ hours): business class permitted for VP and above; first class is not reimbursable.</w:t>
      </w:r>
    </w:p>
    <w:p>
      <w:pPr>
        <w:pStyle w:val="ListBullet"/>
      </w:pPr>
      <w:r>
        <w:t>Operating Partners travelling for portfolio company board meetings follow the portfolio company class entitlement up to a business-class ceiling.</w:t>
      </w:r>
    </w:p>
    <w:p>
      <w:pPr>
        <w:pStyle w:val="Heading2"/>
      </w:pPr>
      <w:r>
        <w:rPr>
          <w:color w:val="1F2733"/>
        </w:rPr>
        <w:t>3.2 Booking channels</w:t>
      </w:r>
    </w:p>
    <w:p>
      <w:r>
        <w:t>All flights must be booked via the firm's designated travel management company (currently Egencia) or directly through Concur Travel. Bookings made outside these channels will not be reimbursed unless a Treasury exception is granted in advance.</w:t>
      </w:r>
    </w:p>
    <w:p>
      <w:pPr>
        <w:pStyle w:val="Heading2"/>
      </w:pPr>
      <w:r>
        <w:rPr>
          <w:color w:val="1F2733"/>
        </w:rPr>
        <w:t>3.3 Frequent flyer programmes</w:t>
      </w:r>
    </w:p>
    <w:p>
      <w:r>
        <w:t>Personnel may retain miles and elite-status credit earned on firm travel. Miles may not be used to self-upgrade beyond the cabin class entitlement above on firm-paid travel. Personal use of accrued miles is at the traveller's discretion.</w:t>
      </w:r>
    </w:p>
    <w:p>
      <w:pPr>
        <w:pStyle w:val="Heading1"/>
      </w:pPr>
      <w:r>
        <w:rPr>
          <w:color w:val="142C52"/>
        </w:rPr>
        <w:t>4. Ground Transport</w:t>
      </w:r>
    </w:p>
    <w:p>
      <w:r>
        <w:t>Ride-share (Uber, Lyft, Bolt, Grab, Cabify) is the default for ground transport in cities where available. Black-car services are reimbursable for late-night arrivals (after 22:00 local), for transport to and from off-airport client meetings exceeding 45 minutes from a major airport, and where local safety guidance recommends pre-arranged car service.</w:t>
      </w:r>
    </w:p>
    <w:p>
      <w:r>
        <w:t>Rental vehicles are reimbursable at the mid-size sedan tier. Premium and luxury rentals are not reimbursable. Personnel are required to refuse rental car insurance offered at the counter; the firm carries corporate coverage through its commercial insurance programme.</w:t>
      </w:r>
    </w:p>
    <w:p>
      <w:r>
        <w:t>Personal vehicle mileage for business use is reimbursable at the prevailing IRS standard mileage rate (US) or HMRC Approved Mileage Allowance Payments rate (UK). Tolls and parking are reimbursable with receipts.</w:t>
      </w:r>
    </w:p>
    <w:p>
      <w:pPr>
        <w:pStyle w:val="Heading1"/>
      </w:pPr>
      <w:r>
        <w:rPr>
          <w:color w:val="142C52"/>
        </w:rPr>
        <w:t>5. Hotels &amp; Lodging</w:t>
      </w:r>
    </w:p>
    <w:p>
      <w:r>
        <w:t>Lodging should be booked at four-star or business-class properties consistent with the firm's negotiated corporate rate programme. Suite-class accommodation is not reimbursable absent Partner-level pre-approval. Personnel are encouraged to use loyalty programmes to maximise traveller rewards but may not select a more expensive property to earn additional points.</w:t>
      </w:r>
    </w:p>
    <w:p>
      <w:r>
        <w:t>Per-night lodging caps by city (effective 2026 rates, USD; updated annually by Treasury):</w:t>
      </w:r>
    </w:p>
    <w:p>
      <w:pPr>
        <w:pStyle w:val="ListBullet"/>
      </w:pPr>
      <w:r>
        <w:t>New York City, San Francisco, London, Hong Kong, Singapore: 650</w:t>
      </w:r>
    </w:p>
    <w:p>
      <w:pPr>
        <w:pStyle w:val="ListBullet"/>
      </w:pPr>
      <w:r>
        <w:t>Boston, Washington DC, Tokyo, Sydney, Zurich, Geneva: 525</w:t>
      </w:r>
    </w:p>
    <w:p>
      <w:pPr>
        <w:pStyle w:val="ListBullet"/>
      </w:pPr>
      <w:r>
        <w:t>Other Tier-1 international cities: 475</w:t>
      </w:r>
    </w:p>
    <w:p>
      <w:pPr>
        <w:pStyle w:val="ListBullet"/>
      </w:pPr>
      <w:r>
        <w:t>Tier-2 US and international cities: 375</w:t>
      </w:r>
    </w:p>
    <w:p>
      <w:pPr>
        <w:pStyle w:val="ListBullet"/>
      </w:pPr>
      <w:r>
        <w:t>All other locations: 275</w:t>
      </w:r>
    </w:p>
    <w:p>
      <w:r>
        <w:t>Caps are inclusive of room rate and standard room taxes; resort fees, mandatory destination fees, and parking are reimbursable in addition. Where the corporate rate exceeds these caps in a given market, the corporate rate prevails.</w:t>
      </w:r>
    </w:p>
    <w:p>
      <w:pPr>
        <w:pStyle w:val="Heading1"/>
      </w:pPr>
      <w:r>
        <w:rPr>
          <w:color w:val="142C52"/>
        </w:rPr>
        <w:t>6. Meals</w:t>
      </w:r>
    </w:p>
    <w:p>
      <w:pPr>
        <w:pStyle w:val="Heading2"/>
      </w:pPr>
      <w:r>
        <w:rPr>
          <w:color w:val="1F2733"/>
        </w:rPr>
        <w:t>6.1 Per-diem and actuals</w:t>
      </w:r>
    </w:p>
    <w:p>
      <w:r>
        <w:t>Halberd reimburses business meals on an actuals basis with itemised receipts for all expenses of USD 25 or above. Daily meal caps in primary travel markets:</w:t>
      </w:r>
    </w:p>
    <w:p>
      <w:pPr>
        <w:pStyle w:val="ListBullet"/>
      </w:pPr>
      <w:r>
        <w:t>Breakfast: USD 30 (USD 40 in Tier-1 cities)</w:t>
      </w:r>
    </w:p>
    <w:p>
      <w:pPr>
        <w:pStyle w:val="ListBullet"/>
      </w:pPr>
      <w:r>
        <w:t>Lunch: USD 45 (USD 60 in Tier-1 cities)</w:t>
      </w:r>
    </w:p>
    <w:p>
      <w:pPr>
        <w:pStyle w:val="ListBullet"/>
      </w:pPr>
      <w:r>
        <w:t>Dinner: USD 95 (USD 130 in Tier-1 cities)</w:t>
      </w:r>
    </w:p>
    <w:p>
      <w:r>
        <w:t>Where a meal is hosted by a counterparty, advisor, sell-side banker, or portfolio company, the firm expense is generally not reimbursable. Where Halberd is the host, the meal expense is allocated to the relevant deal code or to firm overhead.</w:t>
      </w:r>
    </w:p>
    <w:p>
      <w:pPr>
        <w:pStyle w:val="Heading2"/>
      </w:pPr>
      <w:r>
        <w:rPr>
          <w:color w:val="1F2733"/>
        </w:rPr>
        <w:t>6.2 Alcohol</w:t>
      </w:r>
    </w:p>
    <w:p>
      <w:r>
        <w:t>Reasonable alcohol consumption with meals at hosted client or business dinners is reimbursable. Excessive consumption (defined for these purposes as bills where alcohol exceeds 50% of the food subtotal or where any single bottle of wine exceeds USD 250) requires Treasury review. Solo-alcohol expenses at hotels (mini-bar, room service drinks consumed alone) are not reimbursable.</w:t>
      </w:r>
    </w:p>
    <w:p>
      <w:pPr>
        <w:pStyle w:val="Heading1"/>
      </w:pPr>
      <w:r>
        <w:rPr>
          <w:color w:val="142C52"/>
        </w:rPr>
        <w:t>7. Entertainment &amp; Client Hospitality</w:t>
      </w:r>
    </w:p>
    <w:p>
      <w:r>
        <w:t>Sporting event tickets, theatre tickets, and similar hospitality are reimbursable when hosting a current advisor, lender, limited partner, prospective LP, banker, or other established business contact. Pre-approval from a Partner is required for any single hospitality expense above USD 1,500 per attendee. The firm maintains an approved venues list which is reviewed quarterly.</w:t>
      </w:r>
    </w:p>
    <w:p>
      <w:r>
        <w:t>All hospitality expenses must be logged with attendees, affiliations, and business purpose. Hospitality involving public officials, regulators, or representatives of any taxpayer-funded body must be cleared in advance with the Head of Compliance (Anika Shah).</w:t>
      </w:r>
    </w:p>
    <w:p>
      <w:pPr>
        <w:pStyle w:val="Heading1"/>
      </w:pPr>
      <w:r>
        <w:rPr>
          <w:color w:val="142C52"/>
        </w:rPr>
        <w:t>8. Conferences &amp; Industry Events</w:t>
      </w:r>
    </w:p>
    <w:p>
      <w:r>
        <w:t>Annual conference budget is set per investment team and per platform vertical at the start of each fiscal year. Personnel attending conferences are expected to file a one-page debrief within 10 business days of return, summarising relevant intelligence, follow-up contacts, and any deal flow implications.</w:t>
      </w:r>
    </w:p>
    <w:p>
      <w:r>
        <w:t>Approved annual events include the SuperReturn International series, Berlin and Boston editions; the IPEM platform events; PEI Operating Partners Forum; Milken Global Conference; World Economic Forum where invited; and sector-specific events approved by the relevant Sector Partner.</w:t>
      </w:r>
    </w:p>
    <w:p>
      <w:pPr>
        <w:pStyle w:val="Heading1"/>
      </w:pPr>
      <w:r>
        <w:rPr>
          <w:color w:val="142C52"/>
        </w:rPr>
        <w:t>9. Personal Travel Combined with Business Travel</w:t>
      </w:r>
    </w:p>
    <w:p>
      <w:r>
        <w:t>Personnel may combine personal travel with business travel provided that (a) any incremental costs are clearly identified and excluded from the firm reimbursement; (b) the firm pays no more than the cost would have been on a business-only itinerary; and (c) any cabin upgrade or accommodation upgrade for the personal portion is borne personally.</w:t>
      </w:r>
    </w:p>
    <w:p>
      <w:pPr>
        <w:pStyle w:val="Heading1"/>
      </w:pPr>
      <w:r>
        <w:rPr>
          <w:color w:val="142C52"/>
        </w:rPr>
        <w:t>10. Receipts &amp; Reporting</w:t>
      </w:r>
    </w:p>
    <w:p>
      <w:pPr>
        <w:pStyle w:val="ListBullet"/>
      </w:pPr>
      <w:r>
        <w:t>All expenses USD 25 and above require an itemised receipt.</w:t>
      </w:r>
    </w:p>
    <w:p>
      <w:pPr>
        <w:pStyle w:val="ListBullet"/>
      </w:pPr>
      <w:r>
        <w:t>Expense reports must be filed within 30 days of trip completion.</w:t>
      </w:r>
    </w:p>
    <w:p>
      <w:pPr>
        <w:pStyle w:val="ListBullet"/>
      </w:pPr>
      <w:r>
        <w:t>Expense reports older than 90 days will not be reimbursed without VP-level signoff and Treasury exception.</w:t>
      </w:r>
    </w:p>
    <w:p>
      <w:pPr>
        <w:pStyle w:val="ListBullet"/>
      </w:pPr>
      <w:r>
        <w:t>Foreign-currency expenses are converted at the credit-card statement rate where applicable; otherwise the WSJ closing rate on the date of the expense.</w:t>
      </w:r>
    </w:p>
    <w:p>
      <w:pPr>
        <w:pStyle w:val="Heading1"/>
      </w:pPr>
      <w:r>
        <w:rPr>
          <w:color w:val="142C52"/>
        </w:rPr>
        <w:t>11. Personal Use of Corporate Card</w:t>
      </w:r>
    </w:p>
    <w:p>
      <w:r>
        <w:t>The Halberd corporate card is for business use only. Inadvertent personal charges should be flagged in Concur with a corresponding repayment to the firm. Repeated personal use, regardless of subsequent repayment, may result in withdrawal of corporate card privileges.</w:t>
      </w:r>
    </w:p>
    <w:p>
      <w:pPr>
        <w:pStyle w:val="Heading1"/>
      </w:pPr>
      <w:r>
        <w:rPr>
          <w:color w:val="142C52"/>
        </w:rPr>
        <w:t>12. Sustainability Considerations</w:t>
      </w:r>
    </w:p>
    <w:p>
      <w:r>
        <w:t>Halberd publishes an annual scope-3 carbon disclosure that includes business travel. Personnel are encouraged, where reasonably possible, to consolidate trips, use rail rather than short-haul flights where rail journey time is competitive (notably London-Paris, London-Brussels, Beijing-Shanghai), and select hotels participating in recognised sustainability programmes.</w:t>
      </w:r>
    </w:p>
    <w:p>
      <w:pPr>
        <w:pStyle w:val="Heading1"/>
      </w:pPr>
      <w:r>
        <w:rPr>
          <w:color w:val="142C52"/>
        </w:rPr>
        <w:t>13. Exceptions</w:t>
      </w:r>
    </w:p>
    <w:p>
      <w:r>
        <w:t>Exceptions to this policy require written approval from the Head of Treasury (Patrick Lefevre) or, in his absence, the Head of Compliance. Exceptions are reviewed quarterly by the Operations Committee. Repeated exception-seeking by an individual is a flag for the Head of Talent.</w:t>
      </w:r>
    </w:p>
    <w:p>
      <w:pPr>
        <w:pStyle w:val="Heading1"/>
      </w:pPr>
      <w:r>
        <w:rPr>
          <w:color w:val="142C52"/>
        </w:rPr>
        <w:t>14. Policy Violations</w:t>
      </w:r>
    </w:p>
    <w:p>
      <w:r>
        <w:t>Violations of this policy may result in non-reimbursement, withdrawal of corporate card privileges, and in serious or repeated cases, disciplinary action up to and including termination. The firm reserves the right to recoup amounts paid in error or in violation of this policy.</w:t>
      </w:r>
    </w:p>
    <w:p>
      <w:pPr>
        <w:pStyle w:val="Heading1"/>
      </w:pPr>
      <w:r>
        <w:rPr>
          <w:color w:val="142C52"/>
        </w:rPr>
        <w:t>Appendix A - Reimbursable &amp; Non-Reimbursable Items</w:t>
      </w:r>
    </w:p>
    <w:p>
      <w:pPr>
        <w:pStyle w:val="Heading2"/>
      </w:pPr>
      <w:r>
        <w:rPr>
          <w:color w:val="1F2733"/>
        </w:rPr>
        <w:t>A.1 Reimbursable</w:t>
      </w:r>
    </w:p>
    <w:p>
      <w:pPr>
        <w:pStyle w:val="ListBullet"/>
      </w:pPr>
      <w:r>
        <w:t>Business air travel within entitlement</w:t>
      </w:r>
    </w:p>
    <w:p>
      <w:pPr>
        <w:pStyle w:val="ListBullet"/>
      </w:pPr>
      <w:r>
        <w:t>Lodging within per-night caps</w:t>
      </w:r>
    </w:p>
    <w:p>
      <w:pPr>
        <w:pStyle w:val="ListBullet"/>
      </w:pPr>
      <w:r>
        <w:t>Business meals within daily caps</w:t>
      </w:r>
    </w:p>
    <w:p>
      <w:pPr>
        <w:pStyle w:val="ListBullet"/>
      </w:pPr>
      <w:r>
        <w:t>Ground transport for business purposes</w:t>
      </w:r>
    </w:p>
    <w:p>
      <w:pPr>
        <w:pStyle w:val="ListBullet"/>
      </w:pPr>
      <w:r>
        <w:t>Business-purpose conference fees</w:t>
      </w:r>
    </w:p>
    <w:p>
      <w:pPr>
        <w:pStyle w:val="ListBullet"/>
      </w:pPr>
      <w:r>
        <w:t>Wi-Fi during business travel (in-flight and hotel)</w:t>
      </w:r>
    </w:p>
    <w:p>
      <w:pPr>
        <w:pStyle w:val="ListBullet"/>
      </w:pPr>
      <w:r>
        <w:t>International data roaming during business travel</w:t>
      </w:r>
    </w:p>
    <w:p>
      <w:pPr>
        <w:pStyle w:val="ListBullet"/>
      </w:pPr>
      <w:r>
        <w:t>Reasonable laundry on trips of 5+ nights</w:t>
      </w:r>
    </w:p>
    <w:p>
      <w:pPr>
        <w:pStyle w:val="ListBullet"/>
      </w:pPr>
      <w:r>
        <w:t>Visa application fees for business travel</w:t>
      </w:r>
    </w:p>
    <w:p>
      <w:pPr>
        <w:pStyle w:val="ListBullet"/>
      </w:pPr>
      <w:r>
        <w:t>Vaccinations required for business travel</w:t>
      </w:r>
    </w:p>
    <w:p>
      <w:pPr>
        <w:pStyle w:val="ListBullet"/>
      </w:pPr>
      <w:r>
        <w:t>Business-purpose printing and copying</w:t>
      </w:r>
    </w:p>
    <w:p>
      <w:pPr>
        <w:pStyle w:val="Heading2"/>
      </w:pPr>
      <w:r>
        <w:rPr>
          <w:color w:val="1F2733"/>
        </w:rPr>
        <w:t>A.2 Non-Reimbursable</w:t>
      </w:r>
    </w:p>
    <w:p>
      <w:pPr>
        <w:pStyle w:val="ListBullet"/>
      </w:pPr>
      <w:r>
        <w:t>First-class air travel</w:t>
      </w:r>
    </w:p>
    <w:p>
      <w:pPr>
        <w:pStyle w:val="ListBullet"/>
      </w:pPr>
      <w:r>
        <w:t>Personal travel companion expenses</w:t>
      </w:r>
    </w:p>
    <w:p>
      <w:pPr>
        <w:pStyle w:val="ListBullet"/>
      </w:pPr>
      <w:r>
        <w:t>Pet care or kennels during travel</w:t>
      </w:r>
    </w:p>
    <w:p>
      <w:pPr>
        <w:pStyle w:val="ListBullet"/>
      </w:pPr>
      <w:r>
        <w:t>Childcare during travel (covered separately under Family Care Benefit)</w:t>
      </w:r>
    </w:p>
    <w:p>
      <w:pPr>
        <w:pStyle w:val="ListBullet"/>
      </w:pPr>
      <w:r>
        <w:t>Magazines, newspapers, books for personal use</w:t>
      </w:r>
    </w:p>
    <w:p>
      <w:pPr>
        <w:pStyle w:val="ListBullet"/>
      </w:pPr>
      <w:r>
        <w:t>Mini-bar consumption other than non-alcoholic beverages with meals</w:t>
      </w:r>
    </w:p>
    <w:p>
      <w:pPr>
        <w:pStyle w:val="ListBullet"/>
      </w:pPr>
      <w:r>
        <w:t>In-room movies and on-demand entertainment</w:t>
      </w:r>
    </w:p>
    <w:p>
      <w:pPr>
        <w:pStyle w:val="ListBullet"/>
      </w:pPr>
      <w:r>
        <w:t>Spa, gym day-pass and personal grooming</w:t>
      </w:r>
    </w:p>
    <w:p>
      <w:pPr>
        <w:pStyle w:val="ListBullet"/>
      </w:pPr>
      <w:r>
        <w:t>Lost personal items</w:t>
      </w:r>
    </w:p>
    <w:p>
      <w:pPr>
        <w:pStyle w:val="ListBullet"/>
      </w:pPr>
      <w:r>
        <w:t>Traffic and parking violations</w:t>
      </w:r>
    </w:p>
    <w:p>
      <w:pPr>
        <w:pStyle w:val="ListBullet"/>
      </w:pPr>
      <w:r>
        <w:t>Membership in airline lounges (subject to separate approved programmes)</w:t>
      </w:r>
    </w:p>
    <w:p>
      <w:pPr>
        <w:pStyle w:val="Heading1"/>
      </w:pPr>
      <w:r>
        <w:rPr>
          <w:color w:val="142C52"/>
        </w:rPr>
        <w:t>Appendix B - Currency Codes for Reporting</w:t>
      </w:r>
    </w:p>
    <w:p>
      <w:pPr>
        <w:pStyle w:val="ListBullet"/>
      </w:pPr>
      <w:r>
        <w:t>USD - United States Dollar</w:t>
      </w:r>
    </w:p>
    <w:p>
      <w:pPr>
        <w:pStyle w:val="ListBullet"/>
      </w:pPr>
      <w:r>
        <w:t>EUR - Euro</w:t>
      </w:r>
    </w:p>
    <w:p>
      <w:pPr>
        <w:pStyle w:val="ListBullet"/>
      </w:pPr>
      <w:r>
        <w:t>GBP - Pound Sterling</w:t>
      </w:r>
    </w:p>
    <w:p>
      <w:pPr>
        <w:pStyle w:val="ListBullet"/>
      </w:pPr>
      <w:r>
        <w:t>CHF - Swiss Franc</w:t>
      </w:r>
    </w:p>
    <w:p>
      <w:pPr>
        <w:pStyle w:val="ListBullet"/>
      </w:pPr>
      <w:r>
        <w:t>JPY - Japanese Yen</w:t>
      </w:r>
    </w:p>
    <w:p>
      <w:pPr>
        <w:pStyle w:val="ListBullet"/>
      </w:pPr>
      <w:r>
        <w:t>HKD - Hong Kong Dollar</w:t>
      </w:r>
    </w:p>
    <w:p>
      <w:pPr>
        <w:pStyle w:val="ListBullet"/>
      </w:pPr>
      <w:r>
        <w:t>SGD - Singapore Dollar</w:t>
      </w:r>
    </w:p>
    <w:p>
      <w:pPr>
        <w:pStyle w:val="ListBullet"/>
      </w:pPr>
      <w:r>
        <w:t>AUD - Australian Dollar</w:t>
      </w:r>
    </w:p>
    <w:p>
      <w:pPr>
        <w:pStyle w:val="ListBullet"/>
      </w:pPr>
      <w:r>
        <w:t>CAD - Canadian Dollar</w:t>
      </w:r>
    </w:p>
    <w:p>
      <w:pPr>
        <w:pStyle w:val="ListBullet"/>
      </w:pPr>
      <w:r>
        <w:t>BRL - Brazilian Real</w:t>
      </w:r>
    </w:p>
    <w:p>
      <w:pPr>
        <w:pStyle w:val="ListBullet"/>
      </w:pPr>
      <w:r>
        <w:t>MXN - Mexican Peso</w:t>
      </w:r>
    </w:p>
    <w:p>
      <w:pPr>
        <w:pStyle w:val="ListBullet"/>
      </w:pPr>
      <w:r>
        <w:t>KRW - Korean Won</w:t>
      </w:r>
    </w:p>
    <w:p>
      <w:pPr>
        <w:pStyle w:val="ListBullet"/>
      </w:pPr>
      <w:r>
        <w:t>INR - Indian Rupee</w:t>
      </w:r>
    </w:p>
    <w:p>
      <w:pPr>
        <w:pStyle w:val="Heading1"/>
      </w:pPr>
      <w:r>
        <w:rPr>
          <w:color w:val="142C52"/>
        </w:rPr>
        <w:t>Appendix C - Helpful Contacts</w:t>
      </w:r>
    </w:p>
    <w:p>
      <w:pPr>
        <w:pStyle w:val="ListBullet"/>
      </w:pPr>
      <w:r>
        <w:t>Treasury &amp; Reimbursement: treasury@halberd.com</w:t>
      </w:r>
    </w:p>
    <w:p>
      <w:pPr>
        <w:pStyle w:val="ListBullet"/>
      </w:pPr>
      <w:r>
        <w:t>Concur Support: concur-help@halberd.com</w:t>
      </w:r>
    </w:p>
    <w:p>
      <w:pPr>
        <w:pStyle w:val="ListBullet"/>
      </w:pPr>
      <w:r>
        <w:t>Egencia Travel Desk: travel@halberd.com</w:t>
      </w:r>
    </w:p>
    <w:p>
      <w:pPr>
        <w:pStyle w:val="ListBullet"/>
      </w:pPr>
      <w:r>
        <w:t>Compliance Hotline (anonymous): compliance@halberd.com</w:t>
      </w:r>
    </w:p>
    <w:p>
      <w:pPr>
        <w:pStyle w:val="ListBullet"/>
      </w:pPr>
      <w:r>
        <w:t>Corporate Card Replacement: corpcard@halberd.com</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