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42C52"/>
          <w:sz w:val="44"/>
        </w:rPr>
        <w:t>Halberd Capital Partners</w:t>
      </w:r>
    </w:p>
    <w:p>
      <w:pPr>
        <w:jc w:val="center"/>
      </w:pPr>
      <w:r>
        <w:rPr>
          <w:i/>
          <w:color w:val="555555"/>
          <w:sz w:val="24"/>
        </w:rPr>
        <w:t>Quarterly Limited Partner Update - Template (v 4.1, January 2026)</w:t>
      </w:r>
    </w:p>
    <w:p/>
    <w:p>
      <w:r>
        <w:t>This template defines the standard format and content sections for Halberd's quarterly LP communications. The template is owned by Investor Relations (Naomi Fischer). Deal teams are not expected to populate this template directly; deal updates flow through the Sector Partner to IR. All numerical figures are populated by IR from the central reporting pack.</w:t>
      </w:r>
    </w:p>
    <w:p>
      <w:r>
        <w:t>Distribution: Limited Partners and registered LPACs only. Not for circulation outside the firm prior to IR review and Compliance signoff (Anika Shah). Use of this template requires the front-page disclaimer set on page 1 of the latest IR-approved pack.</w:t>
      </w:r>
    </w:p>
    <w:p>
      <w:pPr>
        <w:pStyle w:val="Heading1"/>
      </w:pPr>
      <w:r>
        <w:rPr>
          <w:color w:val="142C52"/>
        </w:rPr>
        <w:t>Section 1 - Quarterly Highlights (1 page)</w:t>
      </w:r>
    </w:p>
    <w:p>
      <w:r>
        <w:t>INSTRUCTIONS TO IR: limit this section to four bullets covering capital deployment, realisations, fund-level performance, and a forward-looking note. Avoid deal-specific detail in this section; deal-by-deal coverage lives in Section 4.</w:t>
      </w:r>
    </w:p>
    <w:p>
      <w:pPr>
        <w:pStyle w:val="ListBullet"/>
      </w:pPr>
      <w:r>
        <w:t>[Placeholder] Capital deployed in quarter (USD, sources of capital)</w:t>
      </w:r>
    </w:p>
    <w:p>
      <w:pPr>
        <w:pStyle w:val="ListBullet"/>
      </w:pPr>
      <w:r>
        <w:t>[Placeholder] Distributions to LPs in quarter</w:t>
      </w:r>
    </w:p>
    <w:p>
      <w:pPr>
        <w:pStyle w:val="ListBullet"/>
      </w:pPr>
      <w:r>
        <w:t>[Placeholder] Net IRR / TVPI / DPI for the active funds</w:t>
      </w:r>
    </w:p>
    <w:p>
      <w:pPr>
        <w:pStyle w:val="ListBullet"/>
      </w:pPr>
      <w:r>
        <w:t>[Placeholder] One forward-looking sentence on pipeline coverage and pacing</w:t>
      </w:r>
    </w:p>
    <w:p>
      <w:pPr>
        <w:pStyle w:val="Heading1"/>
      </w:pPr>
      <w:r>
        <w:rPr>
          <w:color w:val="142C52"/>
        </w:rPr>
        <w:t>Section 2 - Macro Commentary (1-2 pages)</w:t>
      </w:r>
    </w:p>
    <w:p>
      <w:r>
        <w:t>Author: Sector Partner contributions consolidated by IR. Macro commentary should reflect the firm's view of capital markets, sector themes, regulatory developments, and macroeconomic conditions affecting the underlying portfolio. Commentary should be at the firm level, not deal-specific.</w:t>
      </w:r>
    </w:p>
    <w:p>
      <w:r>
        <w:t>[Placeholder] Capital markets conditions: opening conditions, deal pricing, leverage availability, exit window commentary.</w:t>
      </w:r>
    </w:p>
    <w:p>
      <w:r>
        <w:t>[Placeholder] Sector themes: top three themes affecting current portfolio.</w:t>
      </w:r>
    </w:p>
    <w:p>
      <w:r>
        <w:t>[Placeholder] Regulatory &amp; policy: relevant developments in fund domiciles and operating jurisdictions.</w:t>
      </w:r>
    </w:p>
    <w:p>
      <w:r>
        <w:t>[Placeholder] Outlook: 1-2 sentence forward view.</w:t>
      </w:r>
    </w:p>
    <w:p>
      <w:pPr>
        <w:pStyle w:val="Heading1"/>
      </w:pPr>
      <w:r>
        <w:rPr>
          <w:color w:val="142C52"/>
        </w:rPr>
        <w:t>Section 3 - Fund-Level Reporting Tables</w:t>
      </w:r>
    </w:p>
    <w:p>
      <w:r>
        <w:t>INSTRUCTIONS: tables produced by Finance (Mateo Salazar) from the central reporting pack and dropped in by IR. Do not edit numbers in this template; the source of truth is the audited reporting pack.</w:t>
      </w:r>
    </w:p>
    <w:p>
      <w:pPr>
        <w:pStyle w:val="Heading2"/>
      </w:pPr>
      <w:r>
        <w:t>Table 3.1 - Performance summary by fund vintage</w:t>
      </w:r>
    </w:p>
    <w:p>
      <w:r>
        <w:t>[Placeholder table] Columns: Fund / Vintage / Committed / Drawn / Distributed / Unrealised NAV / Gross IRR / Net IRR / TVPI / DPI.</w:t>
      </w:r>
    </w:p>
    <w:p>
      <w:pPr>
        <w:pStyle w:val="Heading2"/>
      </w:pPr>
      <w:r>
        <w:t>Table 3.2 - Capital activity (quarter)</w:t>
      </w:r>
    </w:p>
    <w:p>
      <w:r>
        <w:t>[Placeholder table] Columns: Fund / Capital Calls / Distributions / Recallable Returns / Closing Unfunded.</w:t>
      </w:r>
    </w:p>
    <w:p>
      <w:pPr>
        <w:pStyle w:val="Heading2"/>
      </w:pPr>
      <w:r>
        <w:t>Table 3.3 - Fees and expenses (calendar year-to-date)</w:t>
      </w:r>
    </w:p>
    <w:p>
      <w:r>
        <w:t>[Placeholder table] Columns: Fund / Management Fees / Partnership Expenses / Offsets / Net Fees.</w:t>
      </w:r>
    </w:p>
    <w:p>
      <w:pPr>
        <w:pStyle w:val="Heading1"/>
      </w:pPr>
      <w:r>
        <w:rPr>
          <w:color w:val="142C52"/>
        </w:rPr>
        <w:t>Section 4 - Portfolio Company Updates</w:t>
      </w:r>
    </w:p>
    <w:p>
      <w:r>
        <w:t>INSTRUCTIONS: One half-page per active portfolio company. Authoring responsibility sits with the deal lead Principal, reviewed by the Sector Partner, edited by IR. Drafts are due to IR by the 15th calendar day of the month following quarter end.</w:t>
      </w:r>
    </w:p>
    <w:p>
      <w:r>
        <w:t>Standard sub-headings per portfolio company:</w:t>
      </w:r>
    </w:p>
    <w:p>
      <w:pPr>
        <w:pStyle w:val="ListBullet"/>
      </w:pPr>
      <w:r>
        <w:t>Investment date and capital deployed</w:t>
      </w:r>
    </w:p>
    <w:p>
      <w:pPr>
        <w:pStyle w:val="ListBullet"/>
      </w:pPr>
      <w:r>
        <w:t>Quarter in review (operations, commercial, financial)</w:t>
      </w:r>
    </w:p>
    <w:p>
      <w:pPr>
        <w:pStyle w:val="ListBullet"/>
      </w:pPr>
      <w:r>
        <w:t>Year-on-year revenue and EBITDA growth (vs underwrite)</w:t>
      </w:r>
    </w:p>
    <w:p>
      <w:pPr>
        <w:pStyle w:val="ListBullet"/>
      </w:pPr>
      <w:r>
        <w:t>Material developments (M&amp;A, leadership change, market events)</w:t>
      </w:r>
    </w:p>
    <w:p>
      <w:pPr>
        <w:pStyle w:val="ListBullet"/>
      </w:pPr>
      <w:r>
        <w:t>Risks being monitored</w:t>
      </w:r>
    </w:p>
    <w:p>
      <w:pPr>
        <w:pStyle w:val="ListBullet"/>
      </w:pPr>
      <w:r>
        <w:t>Outlook to next quarter</w:t>
      </w:r>
    </w:p>
    <w:p>
      <w:r>
        <w:t>Active portfolio companies (template entries - populate per quarter):</w:t>
      </w:r>
    </w:p>
    <w:p>
      <w:pPr>
        <w:pStyle w:val="ListBullet"/>
      </w:pPr>
      <w:r>
        <w:t>[Placeholder] Northwind Specialty Foods - frozen prepared meals, US Midwest</w:t>
      </w:r>
    </w:p>
    <w:p>
      <w:pPr>
        <w:pStyle w:val="ListBullet"/>
      </w:pPr>
      <w:r>
        <w:t>[Placeholder] Castellan Industrial Coatings - industrial coatings, Texas + Mexico</w:t>
      </w:r>
    </w:p>
    <w:p>
      <w:pPr>
        <w:pStyle w:val="ListBullet"/>
      </w:pPr>
      <w:r>
        <w:t>[Placeholder] Ferrowood Holdings - engineered wood products, US Southeast</w:t>
      </w:r>
    </w:p>
    <w:p>
      <w:pPr>
        <w:pStyle w:val="ListBullet"/>
      </w:pPr>
      <w:r>
        <w:t>[Placeholder] Beacon Logistics Solutions - regional last-mile freight, US Northeast</w:t>
      </w:r>
    </w:p>
    <w:p>
      <w:pPr>
        <w:pStyle w:val="ListBullet"/>
      </w:pPr>
      <w:r>
        <w:t>[Placeholder] Vertex Aerospace Components - specialty aerospace fasteners, Wichita</w:t>
      </w:r>
    </w:p>
    <w:p>
      <w:pPr>
        <w:pStyle w:val="ListBullet"/>
      </w:pPr>
      <w:r>
        <w:t>[Placeholder] Ridgeline Outdoor Brands - outdoor recreation accessories, Colorado</w:t>
      </w:r>
    </w:p>
    <w:p>
      <w:pPr>
        <w:pStyle w:val="ListBullet"/>
      </w:pPr>
      <w:r>
        <w:t>[Placeholder] Helix Diagnostic Services - veterinary diagnostics labs, US</w:t>
      </w:r>
    </w:p>
    <w:p>
      <w:pPr>
        <w:pStyle w:val="ListBullet"/>
      </w:pPr>
      <w:r>
        <w:t>[Placeholder] Cobalt Marine Holdings - recreational marine equipment, Florida</w:t>
      </w:r>
    </w:p>
    <w:p>
      <w:pPr>
        <w:pStyle w:val="ListBullet"/>
      </w:pPr>
      <w:r>
        <w:t>[Placeholder] Stratus Building Services - commercial cleaning, Mid-Atlantic</w:t>
      </w:r>
    </w:p>
    <w:p>
      <w:pPr>
        <w:pStyle w:val="ListBullet"/>
      </w:pPr>
      <w:r>
        <w:t>[Placeholder] Apricus Snack Co - better-for-you snack platform, US</w:t>
      </w:r>
    </w:p>
    <w:p>
      <w:pPr>
        <w:pStyle w:val="Heading1"/>
      </w:pPr>
      <w:r>
        <w:rPr>
          <w:color w:val="142C52"/>
        </w:rPr>
        <w:t>Section 5 - Realisations &amp; Liquidity Events</w:t>
      </w:r>
    </w:p>
    <w:p>
      <w:r>
        <w:t>[Placeholder] Brief narrative for each realisation in the quarter: holding period, exit channel, gross and net multiple, distribution mechanics.</w:t>
      </w:r>
    </w:p>
    <w:p>
      <w:pPr>
        <w:pStyle w:val="Heading1"/>
      </w:pPr>
      <w:r>
        <w:rPr>
          <w:color w:val="142C52"/>
        </w:rPr>
        <w:t>Section 6 - Pipeline Activity (LP-Permissible Disclosure Only)</w:t>
      </w:r>
    </w:p>
    <w:p>
      <w:r>
        <w:t>INSTRUCTIONS: Only deals at signed-LOI or later stage are LP-permissible disclosures. Pre-LOI and early outside-in opportunities must not be referenced. Where a deal team is in the early stages on an opportunity, IR should refer to the relevant sector pipeline summarily and not by name.</w:t>
      </w:r>
    </w:p>
    <w:p>
      <w:r>
        <w:t>[Placeholder] Active sector pipelines, anonymised by industry vertical and approximate stage.</w:t>
      </w:r>
    </w:p>
    <w:p>
      <w:r>
        <w:t>[Placeholder] Confirmed mandates and signed exclusivity arrangements (subject to Compliance review for naming).</w:t>
      </w:r>
    </w:p>
    <w:p>
      <w:pPr>
        <w:pStyle w:val="Heading1"/>
      </w:pPr>
      <w:r>
        <w:rPr>
          <w:color w:val="142C52"/>
        </w:rPr>
        <w:t>Section 7 - Operating Partner Updates</w:t>
      </w:r>
    </w:p>
    <w:p>
      <w:r>
        <w:t>Marcus Vale (Operations) and Priya Iyer (Commercial) provide a one-page combined update on portfolio operating priorities, value creation programmes underway, and any cross-portfolio initiatives in the quarter (procurement consolidation, technology programmes, talent moves, etc.).</w:t>
      </w:r>
    </w:p>
    <w:p>
      <w:pPr>
        <w:pStyle w:val="Heading1"/>
      </w:pPr>
      <w:r>
        <w:rPr>
          <w:color w:val="142C52"/>
        </w:rPr>
        <w:t>Section 8 - ESG &amp; Stewardship</w:t>
      </w:r>
    </w:p>
    <w:p>
      <w:r>
        <w:t>Author: Naomi Fischer, Head of Investor Relations &amp; ESG.</w:t>
      </w:r>
    </w:p>
    <w:p>
      <w:r>
        <w:t>[Placeholder] One paragraph on portfolio-level material ESG indicators in the quarter; one paragraph on stewardship engagements; reference to the firm's annual stewardship report for detail.</w:t>
      </w:r>
    </w:p>
    <w:p>
      <w:pPr>
        <w:pStyle w:val="Heading1"/>
      </w:pPr>
      <w:r>
        <w:rPr>
          <w:color w:val="142C52"/>
        </w:rPr>
        <w:t>Section 9 - People &amp; Firm Updates</w:t>
      </w:r>
    </w:p>
    <w:p>
      <w:r>
        <w:t>[Placeholder] New hires, departures, promotions, internal moves. IR confirms titles with Talent.</w:t>
      </w:r>
    </w:p>
    <w:p>
      <w:r>
        <w:t>[Placeholder] Office moves, vendor changes, technology improvements, fund administration updates.</w:t>
      </w:r>
    </w:p>
    <w:p>
      <w:pPr>
        <w:pStyle w:val="Heading1"/>
      </w:pPr>
      <w:r>
        <w:rPr>
          <w:color w:val="142C52"/>
        </w:rPr>
        <w:t>Section 10 - Annual Meeting and Calendar</w:t>
      </w:r>
    </w:p>
    <w:p>
      <w:r>
        <w:t>[Placeholder] Standing reminder of upcoming LPAC meetings, the Annual Investor Meeting, and any single-fund meetings in the quarter.</w:t>
      </w:r>
    </w:p>
    <w:p>
      <w:pPr>
        <w:pStyle w:val="Heading1"/>
      </w:pPr>
      <w:r>
        <w:rPr>
          <w:color w:val="142C52"/>
        </w:rPr>
        <w:t>Section 11 - Disclosures and Important Information</w:t>
      </w:r>
    </w:p>
    <w:p>
      <w:r>
        <w:rPr>
          <w:i/>
          <w:color w:val="555555"/>
          <w:sz w:val="18"/>
        </w:rPr>
        <w:t>[Standing disclosure text. Do not edit without Compliance sign-off.]</w:t>
      </w:r>
    </w:p>
    <w:p>
      <w:r>
        <w:t>Past performance is not indicative of future results. Net returns reflect Halberd's standard fee structure for the relevant fund. Cross-fund and cross-vintage comparisons should be interpreted with care. Forward-looking statements are subject to risks and uncertainties that could cause actual results to differ materially. This document is confidential and is intended solely for the recipient. Forwarding or copying without IR consent is prohibited.</w:t>
      </w:r>
    </w:p>
    <w:p>
      <w:pPr>
        <w:pStyle w:val="Heading1"/>
      </w:pPr>
      <w:r>
        <w:rPr>
          <w:color w:val="142C52"/>
        </w:rPr>
        <w:t>Section 12 - Sign-off Workflow</w:t>
      </w:r>
    </w:p>
    <w:p>
      <w:r>
        <w:t>Standard turnaround for the quarterly pack:</w:t>
      </w:r>
    </w:p>
    <w:p>
      <w:pPr>
        <w:pStyle w:val="ListNumber"/>
      </w:pPr>
      <w:r>
        <w:t>Week 1 of new quarter: deal teams submit portfolio drafts to Sector Partners.</w:t>
      </w:r>
    </w:p>
    <w:p>
      <w:pPr>
        <w:pStyle w:val="ListNumber"/>
      </w:pPr>
      <w:r>
        <w:t>Week 2: Sector Partners deliver consolidated portfolio updates to IR.</w:t>
      </w:r>
    </w:p>
    <w:p>
      <w:pPr>
        <w:pStyle w:val="ListNumber"/>
      </w:pPr>
      <w:r>
        <w:t>Week 3: IR consolidates with Finance and Operations input; Compliance reviews.</w:t>
      </w:r>
    </w:p>
    <w:p>
      <w:pPr>
        <w:pStyle w:val="ListNumber"/>
      </w:pPr>
      <w:r>
        <w:t>Week 4: Final draft to Managing Partner for sign-off; pack mailed by end of week 4.</w:t>
      </w:r>
    </w:p>
    <w:p>
      <w:pPr>
        <w:pStyle w:val="Heading1"/>
      </w:pPr>
      <w:r>
        <w:rPr>
          <w:color w:val="142C52"/>
        </w:rPr>
        <w:t>Appendix A - Standing Disclaimers</w:t>
      </w:r>
    </w:p>
    <w:p>
      <w:r>
        <w:t>Standing disclaimers are maintained separately and updated annually by Compliance.</w:t>
      </w:r>
    </w:p>
    <w:p>
      <w:pPr>
        <w:pStyle w:val="Heading1"/>
      </w:pPr>
      <w:r>
        <w:rPr>
          <w:color w:val="142C52"/>
        </w:rPr>
        <w:t>Appendix B - Glossary</w:t>
      </w:r>
    </w:p>
    <w:p>
      <w:r>
        <w:t>TVPI: Total Value to Paid-In capital; DPI: Distributions to Paid-In capital; RVPI: Residual Value to Paid-In capital; LPAC: Limited Partner Advisory Committee; AUM: Assets Under Management.</w:t>
      </w:r>
    </w:p>
    <w:sectPr w:rsidR="00FC693F" w:rsidRPr="0006063C" w:rsidSect="00034616">
      <w:headerReference w:type="default" r:id="rId9"/>
      <w:footerReference w:type="default" r:id="rId1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