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42C52"/>
          <w:sz w:val="32"/>
        </w:rPr>
        <w:t>Halberd Capital Partners</w:t>
      </w:r>
    </w:p>
    <w:p>
      <w:r>
        <w:rPr>
          <w:b/>
          <w:color w:val="1F2733"/>
          <w:sz w:val="22"/>
        </w:rPr>
        <w:t>Compliance Handbook &amp; Code of Conduct - 2026 Edition</w:t>
      </w:r>
    </w:p>
    <w:p>
      <w:r>
        <w:t>Document owner: Anika Shah, Head of Compliance. Approved by the Operations Committee 2026-01-14. Replaces the 2025 edition. All personnel must review and electronically attest to this handbook within 30 days of joining the firm and annually thereafter, on or before the 31 December attestation deadline.</w:t>
      </w:r>
    </w:p>
    <w:p>
      <w:pPr>
        <w:pStyle w:val="Heading1"/>
      </w:pPr>
      <w:r>
        <w:rPr>
          <w:color w:val="142C52"/>
        </w:rPr>
        <w:t>1. Introduction &amp; Tone From the Top</w:t>
      </w:r>
    </w:p>
    <w:p>
      <w:r>
        <w:t>Halberd Capital Partners is a registered investment adviser. Our reputation depends on every partner, employee, and contractor exercising the highest standards of integrity, discretion, and diligence. This handbook codifies those standards. It is not exhaustive; when in doubt, ask the Compliance team rather than infer.</w:t>
      </w:r>
    </w:p>
    <w:p>
      <w:r>
        <w:t>Tone from the top: the Managing Partner (Hugh Pemberton) and Head of Compliance (Anika Shah) jointly own the compliance culture. Compliance lapses are not a back-office issue; they are an investment-team issue. Material lapses are reviewed at the Operations Committee.</w:t>
      </w:r>
    </w:p>
    <w:p>
      <w:pPr>
        <w:pStyle w:val="Heading1"/>
      </w:pPr>
      <w:r>
        <w:rPr>
          <w:color w:val="142C52"/>
        </w:rPr>
        <w:t>2. Conflicts of Interest</w:t>
      </w:r>
    </w:p>
    <w:p>
      <w:r>
        <w:t>Personnel must disclose any actual or potential conflict of interest at the earliest reasonable moment to Compliance. Examples include investments in firms that compete with, supply, or are customers of any portfolio company; close family relationships with sell-side advisors, competitors, or regulators; board seats outside the firm; and pre-existing relationships with any current or prospective limited partner.</w:t>
      </w:r>
    </w:p>
    <w:p>
      <w:r>
        <w:t>Halberd maintains a quarterly Outside Activity Disclosure cycle. All personnel complete the disclosure form regardless of whether they have anything to disclose. Failure to disclose a subsequently discovered conflict is treated as a separate violation independent of the underlying conflict.</w:t>
      </w:r>
    </w:p>
    <w:p>
      <w:pPr>
        <w:pStyle w:val="Heading1"/>
      </w:pPr>
      <w:r>
        <w:rPr>
          <w:color w:val="142C52"/>
        </w:rPr>
        <w:t>3. Personal Trading</w:t>
      </w:r>
    </w:p>
    <w:p>
      <w:r>
        <w:t>All personnel are subject to the firm's personal trading policy. Pre-clearance via the StarCompliance system is required for all personal transactions in covered securities. The policy includes a 30-day holding period for individual equities, a restricted list refreshed weekly by Compliance, and a prohibition on trading in any security where the firm is in active diligence or has recently divested.</w:t>
      </w:r>
    </w:p>
    <w:p>
      <w:r>
        <w:t>Approved investments include diversified mutual funds, exchange-traded funds outside narrow sector ETFs, NZ government bonds and equivalent sovereign instruments of OECD economies, and Halberd-managed funds where eligibility allows.</w:t>
      </w:r>
    </w:p>
    <w:p>
      <w:pPr>
        <w:pStyle w:val="Heading1"/>
      </w:pPr>
      <w:r>
        <w:rPr>
          <w:color w:val="142C52"/>
        </w:rPr>
        <w:t>4. Insider Information &amp; Wall Crossing</w:t>
      </w:r>
    </w:p>
    <w:p>
      <w:r>
        <w:t>Material non-public information acquired in the course of due diligence is subject to insider trading laws in the relevant jurisdictions. Personnel must not trade in any security based on such information and must not communicate the information outside of personnel reasonably necessary to the diligence.</w:t>
      </w:r>
    </w:p>
    <w:p>
      <w:r>
        <w:t>Wall crossing protocols apply where the firm enters into a process which could give it access to MNPI on a public security. Wall crossings are logged with Compliance and require explicit individual training before access is granted.</w:t>
      </w:r>
    </w:p>
    <w:p>
      <w:pPr>
        <w:pStyle w:val="Heading1"/>
      </w:pPr>
      <w:r>
        <w:rPr>
          <w:color w:val="142C52"/>
        </w:rPr>
        <w:t>5. Anti-Bribery &amp; Anti-Corruption</w:t>
      </w:r>
    </w:p>
    <w:p>
      <w:r>
        <w:t>Halberd has a zero-tolerance approach to bribery and corruption. Personnel must not offer or accept anything of value to or from a public official, regulator, or any other party for the purpose of obtaining or retaining business or any improper advantage.</w:t>
      </w:r>
    </w:p>
    <w:p>
      <w:r>
        <w:t>All personnel complete annual ABAC training. Heightened diligence applies to engagements involving public officials, sovereign-related entities, or jurisdictions ranked in the lower quartiles of the Transparency International Corruption Perceptions Index.</w:t>
      </w:r>
    </w:p>
    <w:p>
      <w:pPr>
        <w:pStyle w:val="Heading1"/>
      </w:pPr>
      <w:r>
        <w:rPr>
          <w:color w:val="142C52"/>
        </w:rPr>
        <w:t>6. Sanctions &amp; Trade Controls</w:t>
      </w:r>
    </w:p>
    <w:p>
      <w:r>
        <w:t>All counterparties, advisors, and prospective portfolio companies are screened against the OFAC Specially Designated Nationals list, the UK OFSI Consolidated List, the EU Consolidated Financial Sanctions list, and the United Nations Consolidated List. Screening is run by Compliance at deal opening, at signed exclusivity, at signing, and prior to any wire of capital.</w:t>
      </w:r>
    </w:p>
    <w:p>
      <w:r>
        <w:t>Sanctions hits at any stage halt the workflow pending Compliance review and, where relevant, outside counsel advice. False positives are documented and re-screened at the next gate.</w:t>
      </w:r>
    </w:p>
    <w:p>
      <w:pPr>
        <w:pStyle w:val="Heading1"/>
      </w:pPr>
      <w:r>
        <w:rPr>
          <w:color w:val="142C52"/>
        </w:rPr>
        <w:t>7. Anti-Money-Laundering</w:t>
      </w:r>
    </w:p>
    <w:p>
      <w:r>
        <w:t>Halberd applies risk-based AML controls in line with FinCEN and equivalent international guidelines. Source-of-funds documentation is required from all limited partners at subscription and on subsequent material commitment increases. Beneficial-owner identification follows the firm's AML procedures manual and is owned by Investor Relations operationally and Compliance for assurance.</w:t>
      </w:r>
    </w:p>
    <w:p>
      <w:pPr>
        <w:pStyle w:val="Heading1"/>
      </w:pPr>
      <w:r>
        <w:rPr>
          <w:color w:val="142C52"/>
        </w:rPr>
        <w:t>8. Information Security &amp; Confidentiality</w:t>
      </w:r>
    </w:p>
    <w:p>
      <w:r>
        <w:t>All firm information is presumed confidential. Personnel may not share firm information with external parties without an executed NDA on file or an established advisor relationship under engagement letter. Information security controls are detailed in the IT Acceptable Use Policy and the Information Security Onboarding Pack.</w:t>
      </w:r>
    </w:p>
    <w:p>
      <w:r>
        <w:t>Personal devices may access firm systems only via the approved mobile device management programme. Use of consumer cloud storage (personal Dropbox, Google Drive, iCloud) for firm documents is prohibited.</w:t>
      </w:r>
    </w:p>
    <w:p>
      <w:pPr>
        <w:pStyle w:val="Heading1"/>
      </w:pPr>
      <w:r>
        <w:rPr>
          <w:color w:val="142C52"/>
        </w:rPr>
        <w:t>9. Data Privacy</w:t>
      </w:r>
    </w:p>
    <w:p>
      <w:r>
        <w:t>Halberd is subject to GDPR and UK GDPR for personal data of EU and UK persons; CCPA for California residents; and equivalent regimes in other jurisdictions. Personnel must minimise personal data collection, retention, and sharing. Data subject access requests are routed to Compliance.</w:t>
      </w:r>
    </w:p>
    <w:p>
      <w:pPr>
        <w:pStyle w:val="Heading1"/>
      </w:pPr>
      <w:r>
        <w:rPr>
          <w:color w:val="142C52"/>
        </w:rPr>
        <w:t>10. Gifts &amp; Entertainment</w:t>
      </w:r>
    </w:p>
    <w:p>
      <w:r>
        <w:t>Personnel may not accept gifts or entertainment from advisors, lenders, prospective counterparties, or other business contacts in excess of USD 250 per occurrence or USD 1,000 cumulatively per source per year. All gifts must be logged in the Gifts and Entertainment Register within 5 business days of receipt.</w:t>
      </w:r>
    </w:p>
    <w:p>
      <w:pPr>
        <w:pStyle w:val="Heading1"/>
      </w:pPr>
      <w:r>
        <w:rPr>
          <w:color w:val="142C52"/>
        </w:rPr>
        <w:t>11. Outside Business Activities</w:t>
      </w:r>
    </w:p>
    <w:p>
      <w:r>
        <w:t>Personnel must obtain Compliance and Talent approval before accepting any outside business activity, including non-profit board seats, advisory roles, paid speaking engagements, and regular media commentary. Some categories are pre-approved subject to disclosure (academic lecturing, faith-community service, service on family business boards subject to firm investment restrictions).</w:t>
      </w:r>
    </w:p>
    <w:p>
      <w:pPr>
        <w:pStyle w:val="Heading1"/>
      </w:pPr>
      <w:r>
        <w:rPr>
          <w:color w:val="142C52"/>
        </w:rPr>
        <w:t>12. Political Activity</w:t>
      </w:r>
    </w:p>
    <w:p>
      <w:r>
        <w:t>Personal political activity is encouraged. Personnel must not represent the firm in personal political activity. Political contributions to certain US public officials are subject to pre-clearance under SEC Rule 206(4)-5. Political activity in jurisdictions outside the US is subject to local law and to the firm's Political Activity Policy.</w:t>
      </w:r>
    </w:p>
    <w:p>
      <w:pPr>
        <w:pStyle w:val="Heading1"/>
      </w:pPr>
      <w:r>
        <w:rPr>
          <w:color w:val="142C52"/>
        </w:rPr>
        <w:t>13. Whistleblowing &amp; Compliance Hotline</w:t>
      </w:r>
    </w:p>
    <w:p>
      <w:r>
        <w:t>Personnel are encouraged to raise concerns about possible compliance violations, fraud, or ethical lapses through any of: (a) their direct manager; (b) any Partner; (c) the Head of Compliance directly; or (d) the anonymous compliance hotline operated by an independent third party. Retaliation against any person raising a good-faith concern is itself a serious violation of this handbook and will result in disciplinary action.</w:t>
      </w:r>
    </w:p>
    <w:p>
      <w:pPr>
        <w:pStyle w:val="Heading1"/>
      </w:pPr>
      <w:r>
        <w:rPr>
          <w:color w:val="142C52"/>
        </w:rPr>
        <w:t>14. Record-Keeping</w:t>
      </w:r>
    </w:p>
    <w:p>
      <w:r>
        <w:t>All books and records of the firm are retained per the firm's retention schedule, which complies with SEC Rule 204-2 and equivalent rules in other jurisdictions. Personnel may not destroy or alter firm records outside the retention schedule, and must preserve records subject to a litigation hold.</w:t>
      </w:r>
    </w:p>
    <w:p>
      <w:pPr>
        <w:pStyle w:val="Heading1"/>
      </w:pPr>
      <w:r>
        <w:rPr>
          <w:color w:val="142C52"/>
        </w:rPr>
        <w:t>15. Marketing Materials &amp; Public Statements</w:t>
      </w:r>
    </w:p>
    <w:p>
      <w:r>
        <w:t>Marketing materials provided to current or prospective LPs are subject to Compliance and Marketing review prior to use. Personnel speaking publicly on behalf of the firm must clear remarks with the Marketing &amp; Comms team (Sigrid Pohl) and, where the topic is sensitive, with Compliance.</w:t>
      </w:r>
    </w:p>
    <w:p>
      <w:pPr>
        <w:pStyle w:val="Heading1"/>
      </w:pPr>
      <w:r>
        <w:rPr>
          <w:color w:val="142C52"/>
        </w:rPr>
        <w:t>16. Use of Generative AI Tools</w:t>
      </w:r>
    </w:p>
    <w:p>
      <w:r>
        <w:t>Personnel may use approved generative AI tools (currently the firm-licenced enterprise deployments of Claude, ChatGPT Enterprise, and Microsoft Copilot) on internal data subject to the AI Acceptable Use Standard. Use of consumer AI tools is prohibited for any firm work. AI-generated outputs must be human-reviewed before being relied on or shared externally.</w:t>
      </w:r>
    </w:p>
    <w:p>
      <w:pPr>
        <w:pStyle w:val="Heading1"/>
      </w:pPr>
      <w:r>
        <w:rPr>
          <w:color w:val="142C52"/>
        </w:rPr>
        <w:t>17. Reporting &amp; Investigation Procedures</w:t>
      </w:r>
    </w:p>
    <w:p>
      <w:r>
        <w:t>Compliance investigates reports of suspected violations on a confidential basis. Investigations may involve interviews of relevant personnel, review of communications and records, and where appropriate engagement of outside counsel or forensic specialists. Findings are reported to the Operations Committee and, where material, to the Audit Committee.</w:t>
      </w:r>
    </w:p>
    <w:p>
      <w:pPr>
        <w:pStyle w:val="Heading1"/>
      </w:pPr>
      <w:r>
        <w:rPr>
          <w:color w:val="142C52"/>
        </w:rPr>
        <w:t>18. Sanctions for Violations</w:t>
      </w:r>
    </w:p>
    <w:p>
      <w:r>
        <w:t>Disciplinary action for violations may include reprimand, training requirement, withdrawal of discretionary compensation, demotion, suspension, or termination. Some violations may also give rise to civil or criminal liability; in such cases the firm cooperates with relevant authorities to the extent required by law.</w:t>
      </w:r>
    </w:p>
    <w:p>
      <w:pPr>
        <w:pStyle w:val="Heading1"/>
      </w:pPr>
      <w:r>
        <w:rPr>
          <w:color w:val="142C52"/>
        </w:rPr>
        <w:t>19. Annual Attestation</w:t>
      </w:r>
    </w:p>
    <w:p>
      <w:r>
        <w:t>By 31 December each year, all personnel attest electronically that they have read this handbook, understand it, have complied with its requirements, and have disclosed any circumstances that should be reviewed by Compliance.</w:t>
      </w:r>
    </w:p>
    <w:p>
      <w:pPr>
        <w:pStyle w:val="Heading1"/>
      </w:pPr>
      <w:r>
        <w:rPr>
          <w:color w:val="142C52"/>
        </w:rPr>
        <w:t>20. Helpful Contacts</w:t>
      </w:r>
    </w:p>
    <w:p>
      <w:r>
        <w:t>Head of Compliance: anika.shah@halberd.com</w:t>
      </w:r>
    </w:p>
    <w:p>
      <w:r>
        <w:t>Compliance team general: compliance@halberd.com</w:t>
      </w:r>
    </w:p>
    <w:p>
      <w:r>
        <w:t>Anonymous hotline: see intranet for the third-party-operated reporting line</w:t>
      </w:r>
    </w:p>
    <w:p>
      <w:r>
        <w:t>General Counsel: susanne.brun@halberd.com</w:t>
      </w:r>
    </w:p>
    <w:p>
      <w:r>
        <w:t>Head of Talent (HR concerns): lara.bennett@halberd.com</w:t>
      </w:r>
    </w:p>
    <w:p>
      <w:r>
        <w:t>IT &amp; Security: ola.adeyemi@halberd.com</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