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C52"/>
        </w:rPr>
        <w:t>Halberd Capital Partners - Analytical Standards Guide</w:t>
      </w:r>
    </w:p>
    <w:p>
      <w:pPr>
        <w:jc w:val="left"/>
      </w:pPr>
      <w:r>
        <w:rPr>
          <w:i/>
          <w:sz w:val="18"/>
        </w:rPr>
        <w:t>Internal - for deal-team use only</w:t>
        <w:br/>
        <w:t xml:space="preserve">Version 3.8 - last revised Q2 2024 by H. Pemberton (Managing Partner)</w:t>
        <w:br/>
        <w:t xml:space="preserve">Applies to: all Halberd preliminary-DD and confirmatory-DD deliverables</w:t>
      </w:r>
    </w:p>
    <w:p>
      <w:r>
        <w:rPr>
          <w:b w:val="0"/>
          <w:i w:val="0"/>
          <w:sz w:val="21"/>
        </w:rPr>
      </w:r>
    </w:p>
    <w:p>
      <w:r>
        <w:rPr>
          <w:i/>
        </w:rPr>
        <w:t>v3.8 - last revised Q2 2024. A v4.2 refresh is in progress with the IR team; pending republication, refer to any firm-wide guidance the Managing Partner has issued since this revision for directives that have shifted.</w:t>
      </w:r>
    </w:p>
    <w:p>
      <w:r>
        <w:rPr>
          <w:b w:val="0"/>
          <w:i w:val="0"/>
          <w:sz w:val="21"/>
        </w:rPr>
        <w:t>This document codifies Halberd's firm-wide standards for preliminary outside-in due diligence work. All deal-team deliverables - market models, target assessments, IC pre-reads, briefing videos - must adhere to the methodology, format, and discipline rules below. These are firm standards. They are not optional. The Managing Partner reviews IC pre-reads against this document; deviations not flagged with rationale are sent back.</w:t>
      </w:r>
    </w:p>
    <w:p>
      <w:pPr>
        <w:pStyle w:val="Heading1"/>
      </w:pPr>
      <w:r>
        <w:rPr>
          <w:color w:val="142C52"/>
        </w:rPr>
        <w:t>1. Comparable-Company Valuation Method</w:t>
      </w:r>
    </w:p>
    <w:p>
      <w:r>
        <w:rPr>
          <w:b/>
          <w:i w:val="0"/>
          <w:sz w:val="21"/>
        </w:rPr>
        <w:t>Halberd's comp-based valuation uses a sequential haircut method, not raw broker-asking multiples.</w:t>
      </w:r>
    </w:p>
    <w:p>
      <w:pPr>
        <w:pStyle w:val="Heading2"/>
      </w:pPr>
      <w:r>
        <w:rPr>
          <w:color w:val="142C52"/>
        </w:rPr>
        <w:t>1.1 Method</w:t>
      </w:r>
    </w:p>
    <w:p>
      <w:r>
        <w:rPr>
          <w:b w:val="0"/>
          <w:i w:val="0"/>
          <w:sz w:val="21"/>
        </w:rPr>
        <w:t>Starting from the median public comp multiple, apply each haircut sequentially:</w:t>
      </w:r>
    </w:p>
    <w:p>
      <w:pPr>
        <w:pStyle w:val="ListBullet"/>
      </w:pPr>
      <w:r>
        <w:rPr>
          <w:sz w:val="21"/>
        </w:rPr>
        <w:t>Scale haircut - for comps &gt;10× the target's revenue, apply 35-45% reduction to the multiple. Rationale: liquidity, multiple expansion, and category leadership benefits do not transfer to a sub-scale platform.</w:t>
      </w:r>
    </w:p>
    <w:p>
      <w:pPr>
        <w:pStyle w:val="ListBullet"/>
      </w:pPr>
      <w:r>
        <w:rPr>
          <w:sz w:val="21"/>
        </w:rPr>
        <w:t>Private-company discount - apply a further 20-25% reduction for private targets. Rationale: lack of marketability, governance discount, audited-financials uncertainty.</w:t>
      </w:r>
    </w:p>
    <w:p>
      <w:pPr>
        <w:pStyle w:val="ListBullet"/>
      </w:pPr>
      <w:r>
        <w:rPr>
          <w:sz w:val="21"/>
        </w:rPr>
        <w:t>Risk-specific haircut - for category-specific structural risks (e.g. regulatory deadline exposure, customer concentration &gt;50%, key-person risk), apply an additional 1.0-1.5x EBITDA absolute haircut, or equivalent multiple reduction, sized to the EBITDA-at-risk under a downside scenario.</w:t>
      </w:r>
    </w:p>
    <w:p>
      <w:r>
        <w:rPr>
          <w:b w:val="0"/>
          <w:i w:val="0"/>
          <w:sz w:val="21"/>
        </w:rPr>
        <w:t>Worked example: A public comp trading at 11.0x FY24 EBITDA, with 50× the target's revenue, applied to a private target with significant regulatory-exit-deadline exposure:</w:t>
      </w:r>
    </w:p>
    <w:p>
      <w:pPr>
        <w:pStyle w:val="ListBullet"/>
      </w:pPr>
      <w:r>
        <w:rPr>
          <w:sz w:val="21"/>
        </w:rPr>
        <w:t>Step 1 - scale haircut 40%: 11.0x → 6.6x</w:t>
      </w:r>
    </w:p>
    <w:p>
      <w:pPr>
        <w:pStyle w:val="ListBullet"/>
      </w:pPr>
      <w:r>
        <w:rPr>
          <w:sz w:val="21"/>
        </w:rPr>
        <w:t>Step 2 - private discount 22.5%: 6.6x → 5.1x</w:t>
      </w:r>
    </w:p>
    <w:p>
      <w:pPr>
        <w:pStyle w:val="ListBullet"/>
      </w:pPr>
      <w:r>
        <w:rPr>
          <w:sz w:val="21"/>
        </w:rPr>
        <w:t>Step 3 - risk haircut for material regulatory exposure: -0.5x to -1.0x absolute</w:t>
      </w:r>
    </w:p>
    <w:p>
      <w:pPr>
        <w:pStyle w:val="ListBullet"/>
      </w:pPr>
      <w:r>
        <w:rPr>
          <w:sz w:val="21"/>
        </w:rPr>
        <w:t>Result: target fair-value range 4.1-4.6x EBITDA</w:t>
      </w:r>
    </w:p>
    <w:p>
      <w:r>
        <w:rPr>
          <w:b w:val="0"/>
          <w:i/>
          <w:sz w:val="21"/>
        </w:rPr>
        <w:t>Where the broker asking range falls above the calculated fair-value range, the spread is the negotiation gap. Use the calculated fair-value as the IC's anchor. Do not use raw broker-asking multiples in valuation slides.</w:t>
      </w:r>
    </w:p>
    <w:p>
      <w:pPr>
        <w:pStyle w:val="Heading2"/>
      </w:pPr>
      <w:r>
        <w:rPr>
          <w:color w:val="142C52"/>
        </w:rPr>
        <w:t>1.2 Required Documentation</w:t>
      </w:r>
    </w:p>
    <w:p>
      <w:pPr>
        <w:pStyle w:val="ListBullet"/>
      </w:pPr>
      <w:r>
        <w:rPr>
          <w:sz w:val="21"/>
        </w:rPr>
        <w:t>Every valuation slide must show the calculation chain (starting multiple → each haircut → fair-value range)</w:t>
      </w:r>
    </w:p>
    <w:p>
      <w:pPr>
        <w:pStyle w:val="ListBullet"/>
      </w:pPr>
      <w:r>
        <w:rPr>
          <w:sz w:val="21"/>
        </w:rPr>
        <w:t>Cite the comp source (10-K, annual report, press release) for the starting multiple</w:t>
      </w:r>
    </w:p>
    <w:p>
      <w:pPr>
        <w:pStyle w:val="ListBullet"/>
      </w:pPr>
      <w:r>
        <w:rPr>
          <w:sz w:val="21"/>
        </w:rPr>
        <w:t>State the % haircut used and the rationale in plain language</w:t>
      </w:r>
    </w:p>
    <w:p>
      <w:pPr>
        <w:pStyle w:val="ListBullet"/>
      </w:pPr>
      <w:r>
        <w:rPr>
          <w:sz w:val="21"/>
        </w:rPr>
        <w:t>Always present a range, not a point estimate</w:t>
      </w:r>
    </w:p>
    <w:p>
      <w:pPr>
        <w:pStyle w:val="Heading1"/>
      </w:pPr>
      <w:r>
        <w:rPr>
          <w:color w:val="142C52"/>
        </w:rPr>
        <w:t>2. Market Sizing &amp; Reconciliation</w:t>
      </w:r>
    </w:p>
    <w:p>
      <w:pPr>
        <w:pStyle w:val="Heading2"/>
      </w:pPr>
      <w:r>
        <w:rPr>
          <w:color w:val="142C52"/>
        </w:rPr>
        <w:t>2.1 Top-Down vs Bottom-Up Reconciliation</w:t>
      </w:r>
    </w:p>
    <w:p>
      <w:r>
        <w:rPr>
          <w:b w:val="0"/>
          <w:i w:val="0"/>
          <w:sz w:val="21"/>
        </w:rPr>
        <w:t>When top-down and bottom-up market sizes differ by more than 10%, the deal team must:</w:t>
      </w:r>
    </w:p>
    <w:p>
      <w:pPr>
        <w:pStyle w:val="ListBullet"/>
      </w:pPr>
      <w:r>
        <w:rPr>
          <w:sz w:val="21"/>
        </w:rPr>
        <w:t>(a) State which method is preferred for the analytical question being answered, and why</w:t>
      </w:r>
    </w:p>
    <w:p>
      <w:pPr>
        <w:pStyle w:val="ListBullet"/>
      </w:pPr>
      <w:r>
        <w:rPr>
          <w:sz w:val="21"/>
        </w:rPr>
        <w:t>(b) Explain the structural source of the gap (typically: channel coverage, definition scope, or data vintage). Do not 'normalize' the gap away through arbitrary adjustments.</w:t>
      </w:r>
    </w:p>
    <w:p>
      <w:pPr>
        <w:pStyle w:val="ListBullet"/>
      </w:pPr>
      <w:r>
        <w:rPr>
          <w:sz w:val="21"/>
        </w:rPr>
        <w:t>(c) Use bottom-up figures for volume share calculations. Use top-down figures for retail channel share calculations. Surface the difference between volume-share and retail-share where the target's channel mix differs materially from the industry average.</w:t>
      </w:r>
    </w:p>
    <w:p>
      <w:r>
        <w:rPr>
          <w:b w:val="0"/>
          <w:i/>
          <w:sz w:val="21"/>
        </w:rPr>
        <w:t>A residual gap is acceptable and often analytically informative - the gap reveals the channels not visible in retail-only sizing (industrial, foodservice, institutional, own-use). Surfacing the gap is a sign of analytical rigor.</w:t>
      </w:r>
    </w:p>
    <w:p>
      <w:pPr>
        <w:pStyle w:val="Heading2"/>
      </w:pPr>
      <w:r>
        <w:rPr>
          <w:color w:val="142C52"/>
        </w:rPr>
        <w:t>2.2 Forecast Drivers - Mandatory Demand-Side Factors</w:t>
      </w:r>
    </w:p>
    <w:p>
      <w:r>
        <w:rPr>
          <w:b w:val="0"/>
          <w:i w:val="0"/>
          <w:sz w:val="21"/>
        </w:rPr>
        <w:t>Forward consumption forecasts must incorporate the following drivers, not population × flat per-capita alone:</w:t>
      </w:r>
    </w:p>
    <w:p>
      <w:pPr>
        <w:pStyle w:val="ListBullet"/>
      </w:pPr>
      <w:r>
        <w:rPr>
          <w:sz w:val="21"/>
        </w:rPr>
        <w:t>Population growth (per Treasury demographic baseline)</w:t>
      </w:r>
    </w:p>
    <w:p>
      <w:pPr>
        <w:pStyle w:val="ListBullet"/>
      </w:pPr>
      <w:r>
        <w:rPr>
          <w:sz w:val="21"/>
        </w:rPr>
        <w:t>Per-capita consumption trend (verified against current-vintage industry data, not industry-association public stats pages which lag 2-4 years)</w:t>
      </w:r>
    </w:p>
    <w:p>
      <w:pPr>
        <w:pStyle w:val="ListBullet"/>
      </w:pPr>
      <w:r>
        <w:rPr>
          <w:sz w:val="21"/>
        </w:rPr>
        <w:t>Dietary-mix shift - flexitarian / vegetarian / traditional consumer share evolution. Use the firm's preferred dietary-trends survey vintage (latest available).</w:t>
      </w:r>
    </w:p>
    <w:p>
      <w:pPr>
        <w:pStyle w:val="ListBullet"/>
      </w:pPr>
      <w:r>
        <w:rPr>
          <w:sz w:val="21"/>
        </w:rPr>
        <w:t>Channel mix evolution - retail vs foodservice vs industrial vs direct, weighted to channel-specific price points</w:t>
      </w:r>
    </w:p>
    <w:p>
      <w:pPr>
        <w:pStyle w:val="Heading2"/>
      </w:pPr>
      <w:r>
        <w:rPr>
          <w:color w:val="142C52"/>
        </w:rPr>
        <w:t>2.3 Cross-Channel Pricing Discipline</w:t>
      </w:r>
    </w:p>
    <w:p>
      <w:r>
        <w:rPr>
          <w:b w:val="0"/>
          <w:i w:val="0"/>
          <w:sz w:val="21"/>
        </w:rPr>
        <w:t>Different channels carry different unit economics. Models that apply a single blended wholesale price across all channels under-state revenue dispersion and miss the value-pool concentration risk. Required treatment:</w:t>
      </w:r>
    </w:p>
    <w:p>
      <w:pPr>
        <w:pStyle w:val="ListBullet"/>
      </w:pPr>
      <w:r>
        <w:t>Retail wholesale price separate from retail shelf price - apply the channel uplift explicitly. The retailer's gross margin (shelf-minus-gate / shelf) typically sits at 25-35%, which is the firm's working anchor. Equivalently, the shelf-over-gate markup factor is approximately 1.33-1.54 (a wholesale gate of $X maps to a shelf of $Y where Y/X = 1.33-1.54). When deriving wholesale gate from scan-data shelf prices, divide by the 1.33-1.54 markup factor; do not subtract a flat 25-35% from shelf, which produces a different (and lower) wholesale figure. The two conventions (gross margin % vs markup factor) are different bookkeeping of the same spread - the firm's working anchor for retail-channel reconciliation is the 25-35% gross-margin-% view, applied as the markup-factor 1.33-1.54 when going scan-data-backwards.</w:t>
      </w:r>
    </w:p>
    <w:p>
      <w:pPr>
        <w:pStyle w:val="ListBullet"/>
      </w:pPr>
      <w:r>
        <w:rPr>
          <w:sz w:val="21"/>
        </w:rPr>
        <w:t>Foodservice gate price separate from retail wholesale (typically 10-15% below retail wholesale)</w:t>
      </w:r>
    </w:p>
    <w:p>
      <w:pPr>
        <w:pStyle w:val="ListBullet"/>
      </w:pPr>
      <w:r>
        <w:rPr>
          <w:sz w:val="21"/>
        </w:rPr>
        <w:t>Industrial / processor gate price separate from foodservice (typically 30-45% below retail wholesale)</w:t>
      </w:r>
    </w:p>
    <w:p>
      <w:pPr>
        <w:pStyle w:val="ListBullet"/>
      </w:pPr>
      <w:r>
        <w:rPr>
          <w:sz w:val="21"/>
        </w:rPr>
        <w:t>Direct / DTC price band separate (typically 40-60% above retail shelf for premium-tier direct)</w:t>
      </w:r>
    </w:p>
    <w:p>
      <w:pPr>
        <w:pStyle w:val="Heading1"/>
      </w:pPr>
      <w:r>
        <w:rPr>
          <w:color w:val="142C52"/>
        </w:rPr>
        <w:t>3. Scenario Modeling</w:t>
      </w:r>
    </w:p>
    <w:p>
      <w:pPr>
        <w:pStyle w:val="Heading2"/>
      </w:pPr>
      <w:r>
        <w:rPr>
          <w:color w:val="142C52"/>
        </w:rPr>
        <w:t>3.1 Scenario Discipline</w:t>
      </w:r>
    </w:p>
    <w:p>
      <w:r>
        <w:rPr>
          <w:b w:val="0"/>
          <w:i w:val="0"/>
          <w:sz w:val="21"/>
        </w:rPr>
        <w:t>All forward-period models must include explicit named scenarios with a stated mechanic, not point-estimate forecasts. Minimum requirements:</w:t>
      </w:r>
    </w:p>
    <w:p>
      <w:pPr>
        <w:pStyle w:val="ListBullet"/>
      </w:pPr>
      <w:r>
        <w:rPr>
          <w:sz w:val="21"/>
        </w:rPr>
        <w:t>At least 3 named scenarios spanning the realistic range of outcomes (e.g. 'Managed Conversion', 'Capacity Gap', 'Premium Collapse')</w:t>
      </w:r>
    </w:p>
    <w:p>
      <w:pPr>
        <w:pStyle w:val="ListBullet"/>
      </w:pPr>
      <w:r>
        <w:rPr>
          <w:sz w:val="21"/>
        </w:rPr>
        <w:t>Each scenario must have a driver (what mechanic differs across scenarios) and a consequence (what changes in the model output)</w:t>
      </w:r>
    </w:p>
    <w:p>
      <w:pPr>
        <w:pStyle w:val="ListBullet"/>
      </w:pPr>
      <w:r>
        <w:rPr>
          <w:sz w:val="21"/>
        </w:rPr>
        <w:t>A breakeven point - what driver value triggers each scenario boundary</w:t>
      </w:r>
    </w:p>
    <w:p>
      <w:pPr>
        <w:pStyle w:val="ListBullet"/>
      </w:pPr>
      <w:r>
        <w:rPr>
          <w:sz w:val="21"/>
        </w:rPr>
        <w:t>For supply-driven scenarios in commodity / quasi-commodity markets, the price response must be modeled, not held flat. When supply expands faster than demand, the price tier most exposed must show compression. Models that hold prices flat across supply scenarios are flagged as deficient.</w:t>
      </w:r>
    </w:p>
    <w:p>
      <w:pPr>
        <w:pStyle w:val="Heading2"/>
      </w:pPr>
      <w:r>
        <w:rPr>
          <w:color w:val="142C52"/>
        </w:rPr>
        <w:t>3.2 Mandatory Sensitivity Tables</w:t>
      </w:r>
    </w:p>
    <w:p>
      <w:r>
        <w:rPr>
          <w:b w:val="0"/>
          <w:i w:val="0"/>
          <w:sz w:val="21"/>
        </w:rPr>
        <w:t>All multi-driver models must include sensitivity tables for the following dimensions:</w:t>
      </w:r>
    </w:p>
    <w:p>
      <w:pPr>
        <w:pStyle w:val="ListBullet"/>
      </w:pPr>
      <w:r>
        <w:rPr>
          <w:sz w:val="21"/>
        </w:rPr>
        <w:t>FX (NZD/USD or applicable pair) - 3 scenarios + breakeven</w:t>
      </w:r>
    </w:p>
    <w:p>
      <w:pPr>
        <w:pStyle w:val="ListBullet"/>
      </w:pPr>
      <w:r>
        <w:rPr>
          <w:sz w:val="21"/>
        </w:rPr>
        <w:t>Price tier trajectory (e.g. premium compression, commodity pricing) - 3 scenarios + breakeven</w:t>
      </w:r>
    </w:p>
    <w:p>
      <w:pPr>
        <w:pStyle w:val="ListBullet"/>
      </w:pPr>
      <w:r>
        <w:rPr>
          <w:sz w:val="21"/>
        </w:rPr>
        <w:t>Conversion / transition timing where regulatory or contractual deadlines apply - 3 scenarios + breakeven</w:t>
      </w:r>
    </w:p>
    <w:p>
      <w:r>
        <w:rPr>
          <w:b w:val="0"/>
          <w:i/>
          <w:sz w:val="21"/>
        </w:rPr>
        <w:t>Each table must show the output metric (revenue, EBITDA, NPV, valuation) under each scenario, with the breakeven scenario explicitly identified.</w:t>
      </w:r>
    </w:p>
    <w:p>
      <w:pPr>
        <w:pStyle w:val="Heading1"/>
      </w:pPr>
      <w:r>
        <w:rPr>
          <w:color w:val="142C52"/>
        </w:rPr>
        <w:t>4. Opportunities Framework</w:t>
      </w:r>
    </w:p>
    <w:p>
      <w:r>
        <w:rPr>
          <w:b/>
          <w:i w:val="0"/>
          <w:sz w:val="21"/>
        </w:rPr>
        <w:t>The IC's pre-read assessment must surface both organic top-line and organic bottom-line opportunities, with at least one inorganic opportunity flagged where the deal context supports a roll-up thesis. 'Top-line opportunities only' decks are sent back; deal-team value-creation is disproportionately on the bottom-line.</w:t>
      </w:r>
    </w:p>
    <w:p>
      <w:pPr>
        <w:pStyle w:val="Heading2"/>
      </w:pPr>
      <w:r>
        <w:rPr>
          <w:color w:val="142C52"/>
        </w:rPr>
        <w:t>4.1 Top-Line Opportunities - Required Coverage</w:t>
      </w:r>
    </w:p>
    <w:p>
      <w:pPr>
        <w:pStyle w:val="ListBullet"/>
      </w:pPr>
      <w:r>
        <w:rPr>
          <w:sz w:val="21"/>
        </w:rPr>
        <w:t>Channel expansion - entering channels the target is under-indexed in (typically foodservice or industrial for retail-heavy targets, retail for industrial-heavy targets)</w:t>
      </w:r>
    </w:p>
    <w:p>
      <w:pPr>
        <w:pStyle w:val="ListBullet"/>
      </w:pPr>
      <w:r>
        <w:rPr>
          <w:sz w:val="21"/>
        </w:rPr>
        <w:t>Mix shift - moving share from lower-margin product/tier to higher-margin (e.g. commodity to premium tier where the premium is sustainable)</w:t>
      </w:r>
    </w:p>
    <w:p>
      <w:pPr>
        <w:pStyle w:val="ListBullet"/>
      </w:pPr>
      <w:r>
        <w:rPr>
          <w:sz w:val="21"/>
        </w:rPr>
        <w:t>Premium capture - pricing actions where elasticity supports it (use scan data to validate)</w:t>
      </w:r>
    </w:p>
    <w:p>
      <w:pPr>
        <w:pStyle w:val="ListBullet"/>
      </w:pPr>
      <w:r>
        <w:rPr>
          <w:sz w:val="21"/>
        </w:rPr>
        <w:t>Geographic expansion - adjacent regions or trans-Tasman where applicable</w:t>
      </w:r>
    </w:p>
    <w:p>
      <w:pPr>
        <w:pStyle w:val="ListBullet"/>
      </w:pPr>
      <w:r>
        <w:rPr>
          <w:sz w:val="21"/>
        </w:rPr>
        <w:t>Product extension - adjacent SKUs / product lines with shared infrastructure</w:t>
      </w:r>
    </w:p>
    <w:p>
      <w:r>
        <w:rPr>
          <w:b w:val="0"/>
          <w:i/>
          <w:sz w:val="21"/>
        </w:rPr>
        <w:t>Each top-line lever must be sized - annual revenue / EBITDA contribution range, sourced from interview anchors, scan data, or comp benchmarks. 'Channel expansion is an opportunity' without a number is rejected.</w:t>
      </w:r>
    </w:p>
    <w:p>
      <w:pPr>
        <w:pStyle w:val="Heading2"/>
      </w:pPr>
      <w:r>
        <w:rPr>
          <w:color w:val="142C52"/>
        </w:rPr>
        <w:t>4.2 Bottom-Line Opportunities - Required Coverage</w:t>
      </w:r>
    </w:p>
    <w:p>
      <w:pPr>
        <w:pStyle w:val="ListBullet"/>
      </w:pPr>
      <w:r>
        <w:rPr>
          <w:sz w:val="21"/>
        </w:rPr>
        <w:t>Procurement / vertical integration - feed, packaging, energy contracts; vertical integration where scale supports it</w:t>
      </w:r>
    </w:p>
    <w:p>
      <w:pPr>
        <w:pStyle w:val="ListBullet"/>
      </w:pPr>
      <w:r>
        <w:rPr>
          <w:sz w:val="21"/>
        </w:rPr>
        <w:t>Automation / labor productivity - line automation, packing operations, materials handling, vision systems / quality inspection</w:t>
      </w:r>
    </w:p>
    <w:p>
      <w:pPr>
        <w:pStyle w:val="ListBullet"/>
      </w:pPr>
      <w:r>
        <w:rPr>
          <w:sz w:val="21"/>
        </w:rPr>
        <w:t>Footprint optimization - plant rationalization, route consolidation, depot efficiency</w:t>
      </w:r>
    </w:p>
    <w:p>
      <w:pPr>
        <w:pStyle w:val="ListBullet"/>
      </w:pPr>
      <w:r>
        <w:rPr>
          <w:sz w:val="21"/>
        </w:rPr>
        <w:t>Procurement leverage - combined buying power if part of a platform</w:t>
      </w:r>
    </w:p>
    <w:p>
      <w:pPr>
        <w:pStyle w:val="ListBullet"/>
      </w:pPr>
      <w:r>
        <w:rPr>
          <w:sz w:val="21"/>
        </w:rPr>
        <w:t>Working capital - DPO/DSO discipline, inventory turns</w:t>
      </w:r>
    </w:p>
    <w:p>
      <w:r>
        <w:rPr>
          <w:b w:val="0"/>
          <w:i/>
          <w:sz w:val="21"/>
        </w:rPr>
        <w:t>Each bottom-line lever must be sized with capex requirement, annual EBITDA uplift, and payback period.</w:t>
      </w:r>
    </w:p>
    <w:p>
      <w:pPr>
        <w:pStyle w:val="Heading2"/>
      </w:pPr>
      <w:r>
        <w:rPr>
          <w:color w:val="142C52"/>
        </w:rPr>
        <w:t>4.3 Inorganic / Roll-Up Framework</w:t>
      </w:r>
    </w:p>
    <w:p>
      <w:r>
        <w:rPr>
          <w:b w:val="0"/>
          <w:i w:val="0"/>
          <w:sz w:val="21"/>
        </w:rPr>
        <w:t>When the target sits in a fragmented industry with multiple sub-scale players, the deal-team must assess the platform-and-roll-up thesis. Required treatment:</w:t>
      </w:r>
    </w:p>
    <w:p>
      <w:pPr>
        <w:pStyle w:val="ListBullet"/>
      </w:pPr>
      <w:r>
        <w:rPr>
          <w:sz w:val="21"/>
        </w:rPr>
        <w:t>Identify named potential tuck-in candidates (sub-scale, family-owned, distressed-cohort)</w:t>
      </w:r>
    </w:p>
    <w:p>
      <w:pPr>
        <w:pStyle w:val="ListBullet"/>
      </w:pPr>
      <w:r>
        <w:rPr>
          <w:sz w:val="21"/>
        </w:rPr>
        <w:t>Estimate synergy potential by category - procurement (typically 4-6% of combined opex), manufacturing footprint (5-12% via plant rationalization where geography supports), commercial (3-5% via shared sales force / category management), corporate overhead (40-60% of acquired G&amp;A)</w:t>
      </w:r>
    </w:p>
    <w:p>
      <w:pPr>
        <w:pStyle w:val="ListBullet"/>
      </w:pPr>
      <w:r>
        <w:rPr>
          <w:sz w:val="21"/>
        </w:rPr>
        <w:t>Flag the integration risk and management bandwidth required</w:t>
      </w:r>
    </w:p>
    <w:p>
      <w:pPr>
        <w:pStyle w:val="ListBullet"/>
      </w:pPr>
      <w:r>
        <w:rPr>
          <w:sz w:val="21"/>
        </w:rPr>
        <w:t>Distinguish near-term tuck-ins (1-2 years post-close) from longer-term platform rollouts</w:t>
      </w:r>
    </w:p>
    <w:p>
      <w:pPr>
        <w:pStyle w:val="Heading1"/>
      </w:pPr>
      <w:r>
        <w:rPr>
          <w:color w:val="142C52"/>
        </w:rPr>
        <w:t>5. Risk Register Format</w:t>
      </w:r>
    </w:p>
    <w:p>
      <w:r>
        <w:rPr>
          <w:b w:val="0"/>
          <w:i w:val="0"/>
          <w:sz w:val="21"/>
        </w:rPr>
        <w:t>Risk registers in IC pre-reads must follow the four-field format below for each risk:</w:t>
      </w:r>
    </w:p>
    <w:p>
      <w:pPr>
        <w:pStyle w:val="ListBullet"/>
      </w:pPr>
      <w:r>
        <w:rPr>
          <w:sz w:val="21"/>
        </w:rPr>
        <w:t>Risk Name - short specific descriptor (e.g. 'Named-deadline regulatory exposure (named deadline, named trigger)'), not generic ('regulatory risk')</w:t>
      </w:r>
    </w:p>
    <w:p>
      <w:pPr>
        <w:pStyle w:val="ListBullet"/>
      </w:pPr>
      <w:r>
        <w:rPr>
          <w:sz w:val="21"/>
        </w:rPr>
        <w:t>Probability - High / Medium / Low with one-line rationale tied to a source</w:t>
      </w:r>
    </w:p>
    <w:p>
      <w:pPr>
        <w:pStyle w:val="ListBullet"/>
      </w:pPr>
      <w:r>
        <w:rPr>
          <w:sz w:val="21"/>
        </w:rPr>
        <w:t>$ EBITDA Impact - annual EBITDA at risk (range), sourced from a quantitative anchor (interview, comp filing, or workbook)</w:t>
      </w:r>
    </w:p>
    <w:p>
      <w:pPr>
        <w:pStyle w:val="ListBullet"/>
      </w:pPr>
      <w:r>
        <w:rPr>
          <w:sz w:val="21"/>
        </w:rPr>
        <w:t>Mitigant - what the deal team or post-close operator could do to reduce the risk</w:t>
      </w:r>
    </w:p>
    <w:p>
      <w:r>
        <w:rPr>
          <w:b w:val="0"/>
          <w:i/>
          <w:sz w:val="21"/>
        </w:rPr>
        <w:t>Risk registers without sized $-impacts or with only generic risk names are rejected. Minimum 3 risks, maximum 5, ranked by EBITDA-at-risk descending.</w:t>
      </w:r>
    </w:p>
    <w:p>
      <w:pPr>
        <w:pStyle w:val="Heading1"/>
      </w:pPr>
      <w:r>
        <w:rPr>
          <w:color w:val="142C52"/>
        </w:rPr>
        <w:t>6. Profit Pool Framework</w:t>
      </w:r>
    </w:p>
    <w:p>
      <w:pPr/>
      <w:r>
        <w:rPr>
          <w:b w:val="0"/>
          <w:i w:val="0"/>
          <w:sz w:val="21"/>
        </w:rPr>
        <w:t>Required for any preliminary CDD on an industry the firm has not previously diligenced. The profit-pool framework allocates total industry value across the value chain to identify where margin sits today and where it migrates under structural shift. Anchor tier-level share estimates on commissioned sector studies, broker / sector-analyst reports, or industry-body publications for the target's sub-sector; do not rely on internal opinion or training-data estimates. Where the target operates across multiple tiers (e.g. integrated producer-grader-packer), aggregate the captured share. The framework also informs roll-up logic - where can the platform extract additional pool from adjacent tiers?</w:t>
      </w:r>
    </w:p>
    <w:p>
      <w:pPr>
        <w:pStyle w:val="Heading1"/>
      </w:pPr>
      <w:r>
        <w:rPr>
          <w:color w:val="142C52"/>
        </w:rPr>
        <w:t>7. Currency Convention</w:t>
      </w:r>
    </w:p>
    <w:p>
      <w:r>
        <w:rPr>
          <w:b w:val="0"/>
          <w:i w:val="0"/>
          <w:sz w:val="21"/>
        </w:rPr>
        <w:t>Reminder: all financial figures in deal-team deliverables are presented in USD per the firm's reporting convention. Apply rates from the central financial assumptions workbook (FX_Rates_Forecast tab for multi-year cash flows; do not use spot rates from external sources or training data). Native local currency (NZD, AUD, etc.) may appear as a side-by-side reference but must not be the headline figure.</w:t>
      </w:r>
    </w:p>
    <w:p>
      <w:pPr>
        <w:pStyle w:val="Heading1"/>
      </w:pPr>
      <w:r>
        <w:rPr>
          <w:color w:val="142C52"/>
        </w:rPr>
        <w:t>8. Industry Cost-Structure Benchmarks (for use in cost-out sizing)</w:t>
      </w:r>
    </w:p>
    <w:p>
      <w:pPr/>
      <w:r>
        <w:rPr>
          <w:b w:val="0"/>
          <w:i w:val="0"/>
          <w:sz w:val="21"/>
        </w:rPr>
        <w:t>Cost-out sizing under section 4.2 must reference benchmarked industry cost-structure for the target's sub-sector. Anchor on commissioned sector studies, broker / sector-analyst reports, or industry-body publications; do not rely on internal opinion or training-data estimates. Where multiple sources disagree, surface the disagreement in the IC pre-read and triangulate against the target's own disclosed financials.</w:t>
      </w:r>
    </w:p>
    <w:p>
      <w:pPr>
        <w:pStyle w:val="Heading1"/>
      </w:pPr>
      <w:r>
        <w:t>9. Deal-Stage Principles and Recommendation Discipline</w:t>
      </w:r>
    </w:p>
    <w:p>
      <w:pPr/>
      <w:r>
        <w:t>Halberd's deal-team work runs across three distinct stages, each with its own deliverable conventions, evidentiary expectations, and recommendation discipline. Conflating stage conventions - particularly recommendation language - is the most common rework trigger before an IC pre-read is accepted.</w:t>
      </w:r>
    </w:p>
    <w:p>
      <w:pPr>
        <w:pStyle w:val="Heading2"/>
      </w:pPr>
      <w:r>
        <w:t>9.1 Stage Taxonomy</w:t>
      </w:r>
    </w:p>
    <w:p>
      <w:pPr/>
      <w:r>
        <w:t>Preliminary outside-in DD (pre-LOI / indicative-bid prep). Built from public sources, expert interviews, sell-side outreach, and the firm's internal screening materials. No data-room access, no audited management financials, no supplier or customer call list. Conclusions are directional; risks and open questions carry equal weight to findings. The IC reads preliminary work to decide whether the asset clears the threshold for confirmatory diligence resource allocation.</w:t>
      </w:r>
    </w:p>
    <w:p>
      <w:pPr/>
      <w:r>
        <w:t>Confirmatory DD (post-LOI, pre-signing). Data-room driven, with management presentations, supplier and customer references, audited financial work, and operational diligence. Recommendation framing is permitted at the partner-level discretion of the deal sponsor.</w:t>
      </w:r>
    </w:p>
    <w:p>
      <w:pPr/>
      <w:r>
        <w:t>Post-close monitoring. Performance against the LOI thesis, tracked through the firm's portfolio operations cadence.</w:t>
      </w:r>
    </w:p>
    <w:p>
      <w:pPr>
        <w:pStyle w:val="Heading2"/>
      </w:pPr>
      <w:r>
        <w:t>9.2 Recommendation Discipline</w:t>
      </w:r>
    </w:p>
    <w:p>
      <w:pPr/>
      <w:r>
        <w:t>No 'invest' / 'pass' / 'continue diligence' verdict in any preliminary deliverable - pure assessment. The IC owns the verdict; the deal-team owns the evidentiary surface. Preliminary deliverables present findings, risks, and open questions; the IC decides whether confirmatory diligence is warranted. Recommendation language - 'we believe this is an attractive opportunity', 'strong platform fit', 'compelling tuck-in', or any thesis-pillar framing that resolves the question for the reader - constitutes an attempt to pre-empt the IC. Submissions carrying recommendation language are returned for rework before the IC reads them.</w:t>
      </w:r>
    </w:p>
    <w:p>
      <w:pPr/>
      <w:r>
        <w:t>This discipline applies to all preliminary deliverables: market overviews, market models, target-assessment decks, briefing videos, and any internal memos that flow into the IC pre-read pack.</w:t>
      </w:r>
    </w:p>
    <w:p>
      <w:pPr>
        <w:pStyle w:val="Heading1"/>
      </w:pPr>
      <w:r>
        <w:t xml:space="preserve">10. Workbook Formatting Convention</w:t>
      </w:r>
    </w:p>
    <w:p>
      <w:pPr>
        <w:jc w:val="left"/>
      </w:pPr>
      <w:r>
        <w:t>Halberd's models are working documents - the deal team refreshes them throughout DD and IC reviewers must be able to read them fluently. All multi-tab workbooks must apply the visual convention below so cell purpose is unambiguous at a glance.</w:t>
      </w:r>
    </w:p>
    <w:p>
      <w:pPr>
        <w:pStyle w:val="Heading2"/>
        <w:jc w:val="left"/>
      </w:pPr>
      <w:r>
        <w:t xml:space="preserve">10.1 Cell Type Treatment</w:t>
      </w:r>
    </w:p>
    <w:p>
      <w:pPr>
        <w:pStyle w:val="ListBullet"/>
      </w:pPr>
      <w:r>
        <w:t xml:space="preserve">Hardcoded inputs and assumption cells must use a distinct visual treatment (e.g., blue font on a light fill).</w:t>
      </w:r>
    </w:p>
    <w:p>
      <w:pPr>
        <w:pStyle w:val="ListBullet"/>
      </w:pPr>
      <w:r>
        <w:t xml:space="preserve">Calculation cells (formulas referencing cells on the same tab) must use a different distinct treatment (e.g., black font, no fill).</w:t>
      </w:r>
    </w:p>
    <w:p>
      <w:pPr>
        <w:pStyle w:val="ListBullet"/>
      </w:pPr>
      <w:r>
        <w:t xml:space="preserve">References to assumption cells or formulas referencing cells on other tabs must use a third distinct treatment (e.g., green font).</w:t>
      </w:r>
    </w:p>
    <w:p>
      <w:pPr>
        <w:pStyle w:val="ListBullet"/>
      </w:pPr>
      <w:r>
        <w:t xml:space="preserve">Headline output / KPI cells must use a fourth distinct treatment (e.g., bold with a background fill).</w:t>
      </w:r>
    </w:p>
    <w:p>
      <w:pPr>
        <w:pStyle w:val="Heading2"/>
        <w:jc w:val="left"/>
      </w:pPr>
      <w:r>
        <w:t xml:space="preserve">10.2 Consistency and Legend</w:t>
      </w:r>
    </w:p>
    <w:p>
      <w:pPr>
        <w:pStyle w:val="ListBullet"/>
      </w:pPr>
      <w:r>
        <w:t>The convention must be applied consistently across every tab - once a category has a chosen treatment, the same treatment applies everywhere in the workbook.</w:t>
      </w:r>
    </w:p>
    <w:p>
      <w:pPr>
        <w:pStyle w:val="ListBullet"/>
      </w:pPr>
      <w:r>
        <w:t>A legend documenting the convention must be included in the workbook - either as its own tab (e.g., 'Legend' / 'Conventions') or as a clearly labeled block within the Assumptions tab. The legend must explicitly identify each cell category and its visual treatment so a new reviewer can read the model without coaching.</w:t>
      </w:r>
    </w:p>
    <w:p>
      <w:pPr>
        <w:jc w:val="left"/>
      </w:pPr>
      <w:r>
        <w:t>Specific colors / fonts / fills are at the deal team's discretion. The discipline is that ≥4 categories are visually distinguishable, the treatment is consistent across all tabs, and the legend documents the convention in plain language.</w:t>
      </w:r>
    </w:p>
    <w:p>
      <w:pPr>
        <w:pStyle w:val="Heading2"/>
      </w:pPr>
      <w:r>
        <w:t>10.3 Source Attribution and Vintage Annotation</w:t>
      </w:r>
    </w:p>
    <w:p>
      <w:r>
        <w:t>Every hardcoded input cell on the Assumptions tab must carry both a source-file attribution (named source - file, section, page, or worksheet cell reference) and a date / vintage annotation (publication date for documents; interview date for interview-derived figures; date of pull for scan-data exports). The deal team refreshes workbook inputs as diligence arrives, and a reviewer must be able to audit the vintage of each input without opening the underlying source. Inputs lacking date / vintage annotation must be flagged as 'vintage TBC' or 'undated' so they are visibly incomplete during refresh cycles. This is non-negotiable for any deliverable that will sit in the Halberd shared drive after preliminary work concludes - the workbook is a working document, not a one-time deliverable, and untraceable inputs cannot be refreshed.</w:t>
      </w:r>
    </w:p>
    <w:p>
      <w:r>
        <w:rPr>
          <w:b w:val="0"/>
          <w:i/>
          <w:sz w:val="21"/>
        </w:rPr>
        <w:t>Standards revisions are tracked in the Halberd internal wiki. Questions on application: route to Sector Partner (Vivian Holst, Consumer &amp; Agri) or escalate to Managing Partner (Hugh Pemberton).</w:t>
      </w:r>
    </w:p>
    <w:p>
      <w:pPr>
        <w:pStyle w:val="Heading1"/>
      </w:pPr>
      <w:r>
        <w:t>11. WACC Application</w:t>
      </w:r>
    </w:p>
    <w:p>
      <w:pPr/>
      <w:r>
        <w:t>Apply the regional WACC values (per the central financial assumptions workbook WACC_by_Region tab) for valuation discounting work. Adjust ±50bps for sub-sector risk premium where the deal team's judgment supports it (e.g. higher for early-stage growth assets, lower for stable infrastructure-adjacent businesses). For cross-border or multi-asset platforms, use a weighted blend documented in the model.</w:t>
      </w:r>
    </w:p>
    <w:p>
      <w:pPr>
        <w:pStyle w:val="Heading1"/>
      </w:pPr>
      <w:r>
        <w:t>12. Inflation Application</w:t>
      </w:r>
    </w:p>
    <w:p>
      <w:pPr/>
      <w:r>
        <w:t>Apply the regional CPI forecast (per the central financial assumptions workbook Inflation_Forecast tab) for real-vs-nominal translation in long-dated forecasts (&gt;3 years). Distinguish real and nominal cash flows explicitly in the model; mixing the two within a single forecast is treated as a model defect.</w:t>
      </w:r>
    </w:p>
    <w:sectPr w:rsidR="00FC693F" w:rsidRPr="0006063C" w:rsidSect="00034616">
      <w:headerReference w:type="default" r:id="rId9"/>
      <w:footerReference w:type="default" r:id="rId10"/>
      <w:headerReference w:type="even" r:id="rId11"/>
      <w:footerReference w:type="even" r:id="rId12"/>
      <w:headerReference w:type="first" r:id="rId13"/>
      <w:footerReference w:type="first" r:id="rI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42C5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2C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BFBFBF"/>
      </w:pBdr>
      <w:spacing w:after="300" w:line="240" w:lineRule="auto"/>
      <w:contextualSpacing/>
    </w:pPr>
    <w:rPr>
      <w:rFonts w:asciiTheme="majorHAnsi" w:eastAsiaTheme="majorEastAsia" w:hAnsiTheme="majorHAnsi" w:cstheme="majorBidi"/>
      <w:color w:val="142C5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